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52.2019.192 vom 27. März 2019</w:t>
      </w:r>
    </w:p>
    <w:p>
      <w:r>
        <w:t>TI Tribunale d'appello, 2019-03-27, IT</w:t>
      </w:r>
    </w:p>
    <w:p>
      <w:r>
        <w:rPr>
          <w:b/>
        </w:rPr>
        <w:t xml:space="preserve">Quelle: </w:t>
      </w:r>
      <w:r>
        <w:t>https://mcp.opencaselaw.ch/entscheid/ti_gerichte_52.2019.192</w:t>
      </w:r>
    </w:p>
    <w:p>
      <w:r>
        <w:t>FR: TI_GERICHTE 52.2019.192 du 27 mars 2019</w:t>
      </w:r>
    </w:p>
    <w:p>
      <w:r>
        <w:t>IT: TI_GERICHTE 52.2019.192 del 27 marzo 2019</w:t>
      </w:r>
    </w:p>
    <w:p>
      <w:pPr>
        <w:pStyle w:val="Heading2"/>
      </w:pPr>
      <w:r>
        <w:t>Regeste</w:t>
      </w:r>
    </w:p>
    <w:p>
      <w:r>
        <w:t>Revoca della licenza di condurre veicoli a motore per la durata di quattro mesi</w:t>
      </w:r>
    </w:p>
    <w:p>
      <w:pPr>
        <w:pStyle w:val="Heading2"/>
      </w:pPr>
      <w:r>
        <w:t>Erwägungen</w:t>
      </w:r>
    </w:p>
    <w:p>
      <w:r>
        <w:rPr>
          <w:b/>
        </w:rPr>
        <w:t>E. 16</w:t>
      </w:r>
    </w:p>
    <w:p>
      <w:r>
        <w:t>c cpv. 2 lett. a LCStr, la misura dovrà essere in ogni modo di almeno tre mesi. Nella quantificazione puntuale della sanzione amministrativa che va irrogata all'insorgente, occorre tuttavia tener presente l'alto tasso alcolemico riscontrato al momento decisivo, di gran lunga superiore alla soglia della cosiddetta "concentrazione qualificata" sancita dalla legge (STA 52.2017.312 citata consid. 4.4, 52.2013.570 del 10 marzo 2014 consid. 3.3, 52.2013.188 del 26 luglio 2013 consid. 3.4, 52.2008.227 citata consid. 3.3). Come se non bastasse, dagli atti risulta che nel 2011 l'insorgente aveva già guidato in stato di inattitudine per ubriachezza (tasso di alcolemia di 0.55 grammi per mille), incorrendo in un'infrazione medio grave e scontando per l'accaduto una revoca di un mese giunta a scadenza il 1° aprile 2012 (decisione che peraltro, contrariamente a quanto sostenuto nel gravame, non risulta affatto essere stata modificata in esito a un ricorso, cfr. estratto del registro automatizzato delle misure amministrative ADMAS). Se ne deve concludere che, tenuto conto della grave infrazione commessa dal ricorrente, del grado di colpa che gli è imputabile, della recidiva specifica di cui si è macchiato e del fatto che non ha una necessità professionale di guidare veicoli a motore (su questo specifico tema cfr. DTF 123 II 572 consid. 2c), il provvedimento di revoca di quattro mesi tutelato dal Consiglio di Stato non può che essere ulteriormente confermato da questo Tribunale. Ancorché superiore al minimo legale di tre mesi, una misura di tale ampiezza risulta senz'altro giustificata siccome conforme al diritto e rispettosa del principio della proporzionalità , fermo restando che previa frequentazione di un corso di aggiornamento riconosciuto dall'autorità essa potrà essere ridotta in applicazione dell'art. 17 cpv. 1 LCStr (cfr. dispositivo n. 1.5 della risoluzione dipartimentale). Non porta ad altra conclusione l'invocata distanza tra l'abitazione del ricorrente e la più vicina fermata dei mezzi pubblici: come correttamente rilevato dall'Esecutivo cantonale, gli inconvenienti legati alla revoca della licenza di condurre costituiscono uno degli effetti volutamente punitivi e, dunque, preventivi di tale misura amministrativa. Nulla impedirà inoltre al ricorrente di raggiungere i luoghi in cui normalmente si recava in auto facendosi accompagnare dal figlio o eventualmente da amici oppure ancora prendendo un taxi (cfr., a fortiori , STF 1C_178/2018 del 30 agosto 2018 consid. 3.3 e riferimenti, 1C_442/2017 del 26 aprile 2018 consid. 3.4).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all'ottobre 2018 e che le revoche d'ammonimento vanno scontate sollecitamente per conservare il loro carattere istruttivo. 4.    Stante quanto precede, il ricorso deve essere respinto. La tassa di giustizia segue la soccombenza dell'insorgente (art. 47 cpv. 1 LPAmm). Per questi motivi, decide: 1.   Il ricorso è respinto. 2. La tassa di giustizia di fr. 1'200.-,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