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52.2018.606 vom 30. November 2018</w:t>
      </w:r>
    </w:p>
    <w:p>
      <w:r>
        <w:t>TI Tribunale d'appello, 2018-11-30, IT</w:t>
      </w:r>
    </w:p>
    <w:p>
      <w:r>
        <w:rPr>
          <w:b/>
        </w:rPr>
        <w:t xml:space="preserve">Quelle: </w:t>
      </w:r>
      <w:r>
        <w:t>https://mcp.opencaselaw.ch/entscheid/ti_gerichte_52.2018.606</w:t>
      </w:r>
    </w:p>
    <w:p>
      <w:r>
        <w:t>FR: TI_GERICHTE 52.2018.606 du 30 novembre 2018</w:t>
      </w:r>
    </w:p>
    <w:p>
      <w:r>
        <w:t>IT: TI_GERICHTE 52.2018.606 del 30 novembre 2018</w:t>
      </w:r>
    </w:p>
    <w:p>
      <w:pPr>
        <w:pStyle w:val="Heading2"/>
      </w:pPr>
      <w:r>
        <w:t>Regeste</w:t>
      </w:r>
    </w:p>
    <w:p>
      <w:r>
        <w:t>Acquisto di fondi da parte di persone all'estero. Blocco a registro fondiario. Legittimazione a ricorrere</w:t>
      </w:r>
    </w:p>
    <w:p>
      <w:pPr>
        <w:pStyle w:val="Heading2"/>
      </w:pPr>
      <w:r>
        <w:t>Erwägungen</w:t>
      </w:r>
    </w:p>
    <w:p>
      <w:r>
        <w:rPr>
          <w:b/>
        </w:rPr>
        <w:t>E. 1</w:t>
      </w:r>
    </w:p>
    <w:p>
      <w:r>
        <w:t>La competenza del Tribunale cantonale amministrativo è data dall'art. 9 della legge di applicazione della legge federale sull'acquisto di fondi da parte di persone all'estero del 21 marzo 1988 (LALAFE; RL 215.400). Il ricorso, rivolto contro una decisione che rifiuta la revoca di una misura cautelare adottata in base all'art. 23 LAFE, è inoltre tempestivo, sia che lo si valuti secondo l'art. 20 cpv. 3 LAFE, sia giusta il termine di 15 giorni dell'art. 68 cpv. 2 della legge sulla procedura amministrativa del 24 settembre 2013 (LPAmm; RL 165.100; cfr. al riguardo: Urs Mühlebach/ Hanspeter Geissmann , Lex F., Kommentar zum Bundesgesetzes über den Erwerb von Grund-stücken durch Personen im Ausland, Brugg/Baden 1986, n. 4 ad art. 23 e n. 22 ad art. 22). Resta da verificare se alle società insorgenti possa essere riconosciuta la legittimazione attiva.</w:t>
      </w:r>
    </w:p>
    <w:p>
      <w:r>
        <w:rPr>
          <w:b/>
        </w:rPr>
        <w:t>E. 2.1</w:t>
      </w:r>
    </w:p>
    <w:p>
      <w:r>
        <w:t>Secondo l'art. 20 cpv. 1 LAFE, sono impugnabili innanzi all'autorità cantonale di ricorso le decisioni dell'autorità di prima istanza, dell'ufficiale del registro fondiario, dell'ufficiale del registro di commercio e dell'autorità dell'incanto. Per quanto qui di rilievo, in base all'art. 20 cpv. 2 LAFE il diritto di ricorso spetta all'acquirente, all'alienante e a altre persone che hanno un interesse degno di protezione all'annullamento o alla modifica della decisione (lett. a). Per giurisprudenza, quest'ultima norma ha la medesima portata di quanto a suo tempo richiesto dall'art. 103 dell'abrogata legge federale del 16 dicembre 1943 sull'organizzazione giudiziaria e oggi dall'art. 89 cpv. 1 della legge sul Tribunale federale del 17 giugno 2005 (LTF; RS 173.110; cfr. STF 2C_972/2016 del 31 ottobre 2017 consid. 2.1 e rimandi; Giorgio De Biasio/Simone Albisetti , LAFE – Giurisprudenza scelta cantonale e federale [1997-2016], Lugano 2017, pag. 246 segg.; Mühlebach/Geissmann, op. cit., n. 3 ad art. 20).</w:t>
      </w:r>
    </w:p>
    <w:p>
      <w:r>
        <w:rPr>
          <w:b/>
        </w:rPr>
        <w:t>E. 2.2</w:t>
      </w:r>
    </w:p>
    <w:p>
      <w:r>
        <w:t>In base all'art. 89 cpv. 1 LTF ha il diritto di interporre ricorso in materia di diritto pubblico chi ha partecipato al procedimento dinanzi all'autorità inferiore o è stato privato della possibilità di farlo (lett. a), è particolarmente toccato dalla decisione impugnata (lett. b) e ha un interesse degno di protezione all'annullamento o alla modifica della stessa (lett. c). 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L'interessato dev'essere toccato in modo diretto e concreto e in una maniera e con un'intensità superiore alla maggioranza dei cittadini. L'interesse invocato (che può anche essere di mero fatto), oltre a essere pratico e attuale, deve trovarsi con l'oggetto del litigio in un rapporto stretto, speciale e degno di essere preso in considerazione (cfr. DTF 133 II 400 consid. 2.2, 133 II 409 consid. 1.3, 131 II 361 consid. 1.2; STF 2C_178/2018 del 18 marzo 2019 consid. 2.1). Il ricorso formulato da un singolo nell'interesse generale o di un terzo è escluso (cfr. DTF 138 II 162 consid. 2.1.2, 137 II 40 consid. 2.3, 135 II 145 consid. 6.1, STF 2C_972/2016 citata consid. 3.1 e rimandi). La giurisprudenza ritiene in particolare che anche il ricorso di un terzo a favore del destinatario ( pro Adressat ) sia ammissibile solo se la decisione impugnata comporta per chi insorge un pregiudizio diretto ; un semplice interesse di fatto (economico) - mediato o riflesso - all'annullamento o alla modifica del provvedimento non basta (cfr. DTF 141 V 650 consid. 3.1, 135 V 382 consid. 3.3.1; STF 2C_1158/2012 del 27 agosto 2013 consid. 2.3.2 e rimandi). In tal senso, la sola qualifica di creditore del destinatario (cfr. DTF 134 V 153 consid. 5.3.2.3, 130 V 560 consid. 3.5) o di azionista della società contro cui è rivolta una decisione (cfr. STF 2C_1158/2012 citata consid. 2.3.3 e rimandi) non è sufficiente a fondare la legittimazione attiva (cfr. anche René Wiederkehr/Stefan Eggenschwiler , Die allgemeine Beschwerdebefugnis Dritter, Eine Übersicht über die Rechtsprechung zur materiellen Beschwerdebefugnis Dritter im öffentlichen Verfahrensrecht, Berna 2018, pag. 83 segg.).</w:t>
      </w:r>
    </w:p>
    <w:p>
      <w:r>
        <w:rPr>
          <w:b/>
        </w:rPr>
        <w:t>E. 2.3</w:t>
      </w:r>
    </w:p>
    <w:p>
      <w:r>
        <w:t>In concreto, la decisione impugnata non è stata indirizzata alle insorgenti, che l'hanno ricevuta solo in copia per conoscenza . Con il provvedimento non è infatti tanto stata respinta la domanda di revoca del blocco a registro fondiario presentata dalle società ricorrenti, quanto piuttosto quella - di tenore pressoché identico - formulata da CO 4 (per il tramite del suo legale). Ora - a prescindere dalla posizione di quest'ultimo - è certo che le insorgenti, nella loro semplice veste di creditrici escutenti delle società proprietarie dei fondi, non risultano personalmente e direttamente toccate dalla decisione che mantiene il blocco cautelare a registro fondiario, impedendo atti di disposizione delle PPP (nelle more della procedura di accertamento ex art. 25 cpv. 1 bis LAFE). Nulla muta il fatto che sia stato pronunciato il fallimento della CO 3 e della CO 2: se è vero che con la dichiarazione del fallimento i citati immobili sono entrati a far parte della massa destinata al comune soddisfacimento dei creditori (art. 197 cpv. 1 della legge federale sulla esecuzione e sul fallimento dell'11 aprile 1889; LEF; RS 281.1) e che le debitrici hanno perso la capacità di disporne (art. 204 cpv. 1 LEF), è altrettanto vero che da quel momento - come osservano in questa sede le competenti autorità in materia LAFE - gli atti di amministrazione e di realizzazione degli stessi possono essere compiuti unicamente dall'amministrazione del fallimento (art. 240 LEF), in concreto curata dall'Ufficio dei fallimenti (cfr. anche sentenze II CCA 12.2017.162-163 pag. 4, doc. DF 15 e 16). Non quindi dai singoli creditori, che non hanno alcun potere di disposizione sui beni appartenenti alla massa. A maggior ragione s'impone questa conclusione se si considera che le società insorgenti - che sembrano peraltro appartenere allo stesso CO 4 (cfr. pag. 11 della petizione di cui al doc. I, allegata all'istanza del 5 novembre 2018) - nemmeno si possono prevalere di una graduatoria cresciuta in giudicato, che attesta in modo inoppugnabile la loro qualità di creditori e quindi un loro diritto alla ripartizione del ricavato da un'eventuale (futura) realizzazione all'asta dei fondi. La graduatoria - depositata lo scorso 1° marzo 2019 - è infatti stata contestata da CO 5, la quale il 20 marzo 2019 ha promosso diverse cause davanti alla Pretura di __________, anche nei confronti di RI 1 e RI 2 (cfr. duplica pag. 2 e allegati doc. DF 18). Ne discende che la decisione impugnata non determina per le insorgenti alcun pregiudizio diretto ai sensi della giurisprudenza sopraesposta.</w:t>
      </w:r>
    </w:p>
    <w:p>
      <w:r>
        <w:rPr>
          <w:b/>
        </w:rPr>
        <w:t>E. 3</w:t>
      </w:r>
    </w:p>
    <w:p>
      <w:r>
        <w:t>Stante quanto precede, e poiché il ricorso deve essere dichiarato irricevibile per difetto di legittimazione attiva, non occorre invece chiedersi se e in che misura la decisione impugnata possa essere affetta da nullità, siccome resa ancora dalla vecchia autorità distrettuale in materia LAFE. Autorità a cui - nel momento in cui si è espressa - era in effetti già subentrata per legge la nuova Autorità unica di I. istanza LAFE (istituita dal nuovo art. 7 LALAFE, entrato in vigore con effetto al 1° gennaio 2018, cfr. STA 52.2018.395 del 21 marzo 2019), la quale si è comunque pronunciata in questa sede. L'irricevibilità del ricorso per difetto di legittimazione attiva impedirebbe infatti comunque a questo Tribunale di accertarne la nullità (cfr. per analogia STA 52.2016.242 del 30 maggio 2018, in: RtiD I-2019 n. 12 consid. 4).</w:t>
      </w:r>
    </w:p>
    <w:p>
      <w:r>
        <w:rPr>
          <w:b/>
        </w:rPr>
        <w:t>E. 4</w:t>
      </w:r>
    </w:p>
    <w:p>
      <w:r>
        <w:t>Sulla base di tutto quanto precede, il ricorso è irricevibile. La tassa di giustizia (art. 47 cpv. 1 LPAmm) è posta a carico delle insorgenti, soccombenti. Le ricorrenti sono inoltre tenute a rifondere un'adeguata indennità a titolo di ripetibili (art. 49 cpv. 1 LPAmm) a CO 4, il quale, da un profilo formale, ha resistito in questa sede al gravame, avvalendosi dell'assistenza di un legale. Non ne ha invece diritto CO 5, non patrocinata. Per questi motivi, decide: 1.   Il ricorso è irricevibile . 2.   La tassa di giustizia di fr. 1'500.-, già anticipata dalle insorgenti, resta a loro carico. Alle ricorrenti va restituito l'importo di fr. 500.- versato in eccesso a titolo di anticipo. Le insorgenti sono tenute a rifondere a CO 4 complessivi fr. 1'500.-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