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52.2018.384 vom 17. Juli 2018</w:t>
      </w:r>
    </w:p>
    <w:p>
      <w:r>
        <w:t>TI Tribunale d'appello, 2018-07-17, IT</w:t>
      </w:r>
    </w:p>
    <w:p>
      <w:r>
        <w:rPr>
          <w:b/>
        </w:rPr>
        <w:t xml:space="preserve">Quelle: </w:t>
      </w:r>
      <w:r>
        <w:t>https://mcp.opencaselaw.ch/entscheid/ti_gerichte_52.2018.384</w:t>
      </w:r>
    </w:p>
    <w:p>
      <w:r>
        <w:t>FR: TI_GERICHTE 52.2018.384 du 17 juillet 2018</w:t>
      </w:r>
    </w:p>
    <w:p>
      <w:r>
        <w:t>IT: TI_GERICHTE 52.2018.384 del 17 luglio 2018</w:t>
      </w:r>
    </w:p>
    <w:p>
      <w:pPr>
        <w:pStyle w:val="Heading2"/>
      </w:pPr>
      <w:r>
        <w:t>Regeste</w:t>
      </w:r>
    </w:p>
    <w:p>
      <w:r>
        <w:t>Stima ufficiale della sostanza immobiliare. Aggiornamento intermedio</w:t>
      </w:r>
    </w:p>
    <w:p>
      <w:pPr>
        <w:pStyle w:val="Heading2"/>
      </w:pPr>
      <w:r>
        <w:t>Erwägungen</w:t>
      </w:r>
    </w:p>
    <w:p>
      <w:r>
        <w:rPr>
          <w:b/>
        </w:rPr>
        <w:t>E. 1.1</w:t>
      </w:r>
    </w:p>
    <w:p>
      <w:r>
        <w:t>La competenza del Tribunale cantonale amministrativo è data dall'art. 38 LSt. Certa è la legittimazione attiva dell'insorgente, personalmente e direttamente toccato dal giudizio impugnato di cui è destinatario (art. 65 cpv. 1 della legge sulla procedura amministrativa del 24 settembre 2013; LPAmm; RL 165.100, per rinvio dell'art. 39 cpv. 1 LSt). Il ricorso, tempestivo (art. 38 LSt), è pertanto ricevibile in ordine.</w:t>
      </w:r>
    </w:p>
    <w:p>
      <w:r>
        <w:rPr>
          <w:b/>
        </w:rPr>
        <w:t>E. 1.2</w:t>
      </w:r>
    </w:p>
    <w:p>
      <w:r>
        <w:t>Il giudizio può essere reso sulla base degli atti, senza istruttoria (art. 25 cpv. 1 LPAmm). Neppure l'insorgente sollecita l'assunzione di particolari prove.</w:t>
      </w:r>
    </w:p>
    <w:p>
      <w:r>
        <w:rPr>
          <w:b/>
        </w:rPr>
        <w:t>E. 2.1</w:t>
      </w:r>
    </w:p>
    <w:p>
      <w:r>
        <w:t>In Ticino, la procedura di valutazione della sostanza immobiliare è retta dalla LSt ed è indipendente da quelle di prelievo di pubblici tributi (quali imposte, tasse di iscrizione a registro fondiario) fondate, per il calcolo, proprio sui valori di stima (cfr. 2P.220/2003 del 28 maggio 2004 consid. 1; cfr. anche Rocco Filippini , I valori di stima nella giurisprudenza federale e cantonale, in: Novità fiscali, n. 9, settembre 2014, pag. 18 seg.). In questo ambito il diritto federale, in particolare la legge federale sull'armonizzazione delle imposte dirette dei Cantoni e dei Comuni del 14 dicembre 1990 (LAID; RS 642.14), lascia ai Cantoni un'ampia libertà, che a fini fiscali impone solo di tener conto della regola generale secondo cui la sostanza dev'essere stimata al suo valore venale; in questo contesto, il valore reddituale può essere preso in considerazione in modo appropriato (art. 14 cpv. 1 LAID). Dal profilo del metodo di valutazione specifica, come pure della procedura applicabile per stabilire il valore di stima, la LAID non prescrive invece alcunché al legislatore cantonale, che dispone quindi di un importante margine di manovra. Per giurisprudenza, ai Cantoni è tuttavia impedito di prevedere regolamentazioni che abbiano quale conseguenza una sistematica sovra- o sottostima degli immobili (cfr. DTF 134 II 207 consid. 3.6, 131 I 291 consid. 3.2.2; STF 2C_422/2016 del 13 settembre 2017 consid. 5 e 6.3 con rimandi; Daniel Dzamko-Locher/Hannes Teuscher , in: Martin Zweifel/Michael Beusch, Kommentar StHG, III ed., Basilea 2017, n. 1 segg. ad art. 14 LAID).</w:t>
      </w:r>
    </w:p>
    <w:p>
      <w:r>
        <w:rPr>
          <w:b/>
        </w:rPr>
        <w:t>E. 2.2</w:t>
      </w:r>
    </w:p>
    <w:p>
      <w:r>
        <w:t>Secondo la LSt, i fondi edificabili sono valutati secondo il valore venale, a dipendenza del grado di urbanizzazione; i fondi edificati devono essere valutati come un'unità economica comprendente fabbricati e relativo terreno annesso (art. 15 cpv. 1 e 2 LSt). I fondi che pur essendo esterni alla zona edificabile si presentano già edificati sono da considerare come fondi edificabili almeno per quanto concerne l'area complementare agli edifici (cfr. art. 10 lett. b LSt). È considerato valore venale di un fondo il prezzo normalmente conseguibile per un oggetto analogo in una libera contrattazione (art. 16 cpv. 1 LSt); il valore venale di un fondo edificato (fabbricato più terreno annesso) è determinato tenendo conto del valore metrico e di quello di reddito secondo una media ponderata (cfr. art. 16 cpv. 2 LStr e 7 del regolamento di applicazione della legge sulla stima ufficiale della sostanza immobiliare del 19 dicembre 1997 [RSt; RL 215.610]). La stima è improntata su criteri di schematicità e di prudenzialità (cfr. art. 20 LSt).</w:t>
      </w:r>
    </w:p>
    <w:p>
      <w:r>
        <w:rPr>
          <w:b/>
        </w:rPr>
        <w:t>E. 2.3</w:t>
      </w:r>
    </w:p>
    <w:p>
      <w:r>
        <w:t>Dal profilo procedurale, la LSt stabilisce che il valore di stima viene determinato ogni vent'anni nel quadro di una revisione generale (cfr. art. 6 LSt; la prima, entrata in vigore il 1° gennaio 2005 per tutti gli immobili siti nel Cantone). Tra due revisioni generali sono possibili aggiornamenti intermedi, secondo cicli quadriennali, se i fattori generali d'incidenza sulla stima di cui all'art. 19 LSt registrano una determinata variazione (cfr. art. 7 LSt), come si vedrà meglio di seguito (consid. 3). Vi possono poi essere circostanze che determinano un aggiornamento particolare delle stime, quali la nuova costruzione o riattazione o le modifiche di PR (cfr. art. 8 LSt). Revisioni eccezionali possono essere invece intraprese quando le condizioni di base per la valutazione dei beni immobili dovessero subire dei mutamenti essenziali e permanenti (cfr. art. 9 LSt; cfr. al riguardo: STA 52.2016.300 del 15 dicembre 2017, in: RtiD II-2018 n. 9 consid. 4). Infine, al Consiglio di Stato è data facoltà di procedere in ogni momento (su istanza di parte o d'ufficio) a una modifica straordinaria delle stime definitive, che si rivelassero manifestamente inattendibili (cfr. art. 42 LSt).</w:t>
      </w:r>
    </w:p>
    <w:p>
      <w:r>
        <w:rPr>
          <w:b/>
        </w:rPr>
        <w:t>E. 3.1</w:t>
      </w:r>
    </w:p>
    <w:p>
      <w:r>
        <w:t>Secondo l'art. 7 cpv. 1 LSt, nel periodo che intercorre tra due revisioni generali, i valori ufficiali di stima sono oggetto di aggiornamenti intermedi con l'adozione di percentuali d'incremento o di diminuzione se, secondo il Consiglio di Stato, i fattori influenti sulla valutazione dei fondi, di cui all'art. 19, registrano mutamenti rilevanti. Si tratta segnatamente dei seguenti fattori di carattere generale: (a) i prezzi medi dei terreni, (b) il tasso ipotecario, (c) il costo medio delle pigioni e (d) il costo medio delle costruzioni (cfr. art. 19 LSt). Gli aggiornamenti intermedi avvengono secondo cicli quadriennali e possono concernere anche solo singoli comprensori, come pure determinate zone di un Comune con caratteristiche analoghe (art. 7 cpv. 2 LSt). Il Consiglio di Stato decide gli aggiornamenti intermedi sulla base del preavviso del Servizio competente allestito dopo una verifica estesa a tutto il Cantone (cpv. 3). In tal senso l'art. 24 cpv. 1 RSt precisa che l'Ufficio cantonale di stima sottopone al Consiglio di Stato, ogni 4 anni, un rapporto sull'evoluzione dei fattori influenti sulla stima. Di regola, soggiunge la norma, gli aggiornamenti intermedi sono decisi quando questa evoluzione determina una variazione dei valori di stima vigenti almeno del ± 25% rispetto all'ultimo aggiornamento.</w:t>
      </w:r>
    </w:p>
    <w:p>
      <w:r>
        <w:rPr>
          <w:b/>
        </w:rPr>
        <w:t>E. 3.2</w:t>
      </w:r>
    </w:p>
    <w:p>
      <w:r>
        <w:t>Gli aggiornamenti intermedi, come ben si evince dalle suddette norme, non interessano i fattori individuali, ma solo i fattori generali di cui all'art. 19 LSt che influiscono sul valore di stima dei fondi (e meglio, come detto, i prezzi medi pagati per i terreni in analoghe situazioni, il livello medio delle pigioni praticate nelle diverse zone del Cantone, il costo delle costruzioni e gli interessi ipotecari, che corrispondono alla media di quelli praticati dalla Banca dello Stato e dai maggiori istituti di credito per le ipoteche di primo rango). Questi elementi "di base", che vengono fissati all'inizio della stima, vanno in seguito tenuti aggiornati, qualora su tutto il territorio cantonale o solo su una parte si registrino mutamenti superiori alla soglia del ± 25% (cfr. Messaggio n. 4375 del 21 febbraio 1995 concernente il progetto di nuova legge sulla stima ufficiale della sostanza immobiliare, ad art. 7; cfr. inoltre il relativo Rapporto della Commissione speciale in materia tributaria del 20 settembre 1996, ad art. 7). Secondo i materiali legislativi, gli aggiornamenti intermedi perseguono il duplice obiettivo di permettere un più regolare e costante adeguamento (verso il basso o l'alto) dei valori di stima alle condizioni di mercato, nonché di evitare quei consistenti e improvvisi cambiamenti di valori dovuti al solo fatto che le revisioni generali intervengono a scadenze relativamente lunghe (cfr. Messaggio citato, ad art. 7). A tal fine il legislatore ha quindi optato per la metodologia più celere - da effettuare a seguito delle risultanze di verifiche sistematiche estese a tutto il territorio cantonale - di un incremento o di una riduzione percentuale dei valori precedentemente accertati con la revisione generale, sulla base di semplici indici matematici di rivalutazione o di svalutazione, applicati tramite supporto informatico (senza pertanto procedere a sopralluoghi o a una nuova raccolta di dati, come avviene nel quadro della revisione generale; cfr. Messaggio citato, ad A, punto II.b e ad art. 7; Rapporto citato, ad B punto 3). Il procedimento d'informatizzazione consente in effetti di adottare metodi di calcolo schematici, ma pur sempre atti a garantire risultati sufficientemente rappresentativi e qualitativamente soddisfacenti, così come ricordato dal Tribunale di espropriazione (cfr. Rapporto citato, ad B punto 6). Il principio di schematicità ancorato all'art. 20 LSt (nella raccolta, nell'elaborazione dei dati e nel metodo adottato per determinare la stima) mira del resto proprio a consentire una combinazione ottimale fra qualità (rappresentatività ed affidabilità della stima ed equità di trattamento) della valutazione e risorse necessarie per la sua determinazione (onere amministrativo dell'autorità e dei privati, cfr. Rapporto citato, ad art. 20).</w:t>
      </w:r>
    </w:p>
    <w:p>
      <w:r>
        <w:rPr>
          <w:b/>
        </w:rPr>
        <w:t>E. 3.3</w:t>
      </w:r>
    </w:p>
    <w:p>
      <w:r>
        <w:t>e 4.2; Martin Plüss, in: Marianne Klöti-Weber/Dave Siegrist/Dieter Weber, Kommentar zum Aargauer Steuergesetz, Muri/Berna 2015, n. 13a ad § 218).</w:t>
      </w:r>
    </w:p>
    <w:p>
      <w:r>
        <w:rPr>
          <w:b/>
        </w:rPr>
        <w:t>E. 4.1</w:t>
      </w:r>
    </w:p>
    <w:p>
      <w:r>
        <w:t>In concreto, come accennato in narrativa, dopo aver decretato che i valori di stima non avrebbero subito modifiche nell'ambito dei primi due aggiornamenti quadriennali (cfr. risoluzioni n. 1146 del 17 marzo 2009 e n. 5206 del 26 settembre 2012), il Consiglio di Stato ha preso atto del rapporto sul terzo ciclo quadriennale sottopostogli dall'UCS, che ha accertato un aumento globale medio dei valori di stima - tra il 1° gennaio 2003 e il 31 dicembre 2014 - del 27.4%, ovvero superiore alla soglia (± 25%) fissata dall'art. 24 cpv. 1 RSt. E ciò procedendo essenzialmente a un'analisi dell'evoluzione dei quattro parametri di cui all'art. 19 LSt, a una simulazione a livello di singoli fondi (con introduzione dei valori dei quattro parametri, compreso un adeguamento della vetustà) e a un raffronto tra valore simulato e valore stabilito con la prima revisione generale delle stime (cfr. anche, riassuntivamente, le Spiegazioni per i proprietari immobiliari ticinesi, "Aggiornamento intermedio dei valori di stima - Terzo ciclo quadriennale" sub. www.ti.ch/stimaufficiale). Con decreto esecutivo del 31 maggio 2016 (BU 25/2016) ha quindi risolto di applicare un aumento medio dei valori di stima del 18.03%, precisando l'incremento percentuale per i singoli fondi in base al polo (Mendrisio, Lugano, Locarno e valli, Bellinzona e valli) e alla fascia territoriale del Comune di appartenenza (cfr. art. 2 e allegato al decreto). Per __________, ha in particolare stabilito una percentuale d'incremento pari all'8.84% (polo D, fascia 5; cfr. tabelle di cui all'allegato citato). Questa percentuale, applicabile all'intera fascia di appartenenza del Comune, è come visto rimasta incontestata (cfr. supra , consid. Ca). A ben vedere, non potrebbe quindi neppure essere rimessa in discussione in questa sede. Neppure il ricorrente del resto lo pretende. Ne discende che le stime ufficiali dei fondi edificati in questione (part. __________, __________, __________, __________, __________, __________, __________ e __________ RFP), a cui l'UCS ha applicato, in modo corretto, il predetto aumento percentuale, non possono che essere tutelate anche da questo Tribunale, siccome immuni da violazione del diritto.</w:t>
      </w:r>
    </w:p>
    <w:p>
      <w:r>
        <w:rPr>
          <w:b/>
        </w:rPr>
        <w:t>E. 4.2</w:t>
      </w:r>
    </w:p>
    <w:p>
      <w:r>
        <w:t>A ragione le precedenti istanze hanno invece respinto le censure sollevate dal ricorrente, riproposte in questa sede, con cui afferma in sostanza che la descrizione degli edifici e i valori di stima non corrisponderebbero (più) allo stato di fatto degli immobili. Questi aspetti, come appena visto (consid. 3.3), esulano infatti dal procedimento di aggiornamento intermedio, volto solo a permettere un adattamento schematico delle stime in base all'evoluzione dei fattori d'incidenza generale; non anche un riesame di tutti gli elementi individuali considerati nelle schede di calcolo e/o un'analisi, fondo per fondo, delle modifiche di fatto subentrate dopo la prima revisione generale. In che misura le predette obiezioni dell'insorgente possano semmai essere fatte valere nel quadro di altre procedure di aggiornamento, così come indicato dal Tribunale di espropriazione, o possano dar luogo a una modifica straordinaria ex art. 42 LSt, è invece questione che trascende il presente procedimento.</w:t>
      </w:r>
    </w:p>
    <w:p>
      <w:r>
        <w:rPr>
          <w:b/>
        </w:rPr>
        <w:t>E. 5.1</w:t>
      </w:r>
    </w:p>
    <w:p>
      <w:r>
        <w:t>Sulla base di tutte le considerazioni che precedono, il ricorso deve dunque essere respinto.</w:t>
      </w:r>
    </w:p>
    <w:p>
      <w:r>
        <w:rPr>
          <w:b/>
        </w:rPr>
        <w:t>E. 5.2</w:t>
      </w:r>
    </w:p>
    <w:p>
      <w:r>
        <w:t>Dato l'esito, la tassa di giustizia (art. 47 cpv. 1 LPAmm) è posta a carico dell'insorgente, secondo soccombenza. Per questi motivi, dichiara e pronuncia: 1.   Il ricorso è respinto. 2.   La tassa di giustizia di fr. 1'500.-, già anticipata dall'insorgente, resta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