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52.2018.18 vom 22. November 2017</w:t>
      </w:r>
    </w:p>
    <w:p>
      <w:r>
        <w:t>TI Tribunale d'appello, 2017-11-22, IT</w:t>
      </w:r>
    </w:p>
    <w:p>
      <w:r>
        <w:rPr>
          <w:b/>
        </w:rPr>
        <w:t xml:space="preserve">Quelle: </w:t>
      </w:r>
      <w:r>
        <w:t>https://mcp.opencaselaw.ch/entscheid/ti_gerichte_52.2018.18</w:t>
      </w:r>
    </w:p>
    <w:p>
      <w:r>
        <w:t>FR: TI_GERICHTE 52.2018.18 du 22 novembre 2017</w:t>
      </w:r>
    </w:p>
    <w:p>
      <w:r>
        <w:t>IT: TI_GERICHTE 52.2018.18 del 22 novembre 2017</w:t>
      </w:r>
    </w:p>
    <w:p>
      <w:pPr>
        <w:pStyle w:val="Heading2"/>
      </w:pPr>
      <w:r>
        <w:t>Regeste</w:t>
      </w:r>
    </w:p>
    <w:p>
      <w:r>
        <w:t>Dipendenti cantonali. Passaggio al nuovo modello retributivo</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con sufficiente chiarezza dalla documentazione prodotta dalle parti.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3.2</w:t>
      </w:r>
    </w:p>
    <w:p>
      <w:r>
        <w:t>Anche la censura di violazione dei diritti acquisiti non può trovare accoglimento. Anzitutto, si osserva che di principio le pretese pecuniarie dei dipendenti pubblici non fondano diritti acquisiti. Il rapporto di lavoro è regolato dalla legislazione in vigore al momento determinante e lo Stato è libero di rivedere unilateralmente in ogni momento la politica di impiego e salariale. I dipendenti pubblici non possono contare sul fatto che le disposizioni che regolano il loro statuto restino immutate nel tempo. È possibile ammettere dei diritti acquisiti in questo ambito solo se la legge regola una volta per tutte delle situazioni particolari, sottraendole agli effetti dei cambiamenti legislativi o, ancora, se sono state date assicurazioni precise in occasione dell'assunzione (DTF 143 I 65 consid. 6.2 e riferimenti; STF 8D_4/2017 del 26 aprile 2018 consid. 5.2, 8C_158/2016 del 2 febbraio 2017 consid. 6.2; Jasmin Malla in: Wolfgang Portmann/Felix Uhlmann [curatori], Bundespersonalgesetz, Zurigo 2013, n. 12 ad art. 15), evenienze queste ultime, che chiaramente non si verificano in concreto, né la ricorrente pretende invero il contrario. Nulla obbligava quindi lo Stato ad assicurare ai dipendenti la corresponsione di un aumento o avanzamento maturato e garantito solo con una legge che, al momento determinante, non esplicava più alcun effetto. Anche da questo punto di vista le motivazioni ricorsuali sono pive di fondamento. 4.  Visto quanto precede, il ricorso deve essere respinto. La tassa di giustizia è posta a carico della ricorrente, secondo soccombenza (art. 47 cpv. 1 LPAmm). Per questi motivi, decide: 1.  Il ricorso è respinto. 2.  La tassa di giustizia di fr. 1'800.-, già anticipata dalla ricorrente, rimane a suo carico.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3.  3.1. Anzitutto si osserva che nel caso di specie, la dipendente non è stata penalizzata dalle decisioni prese nell'ambito del Preventivo 2016 dall'autorità cantonale. Essa ha unicamente subìto il posticipo del diritto all'aumento (ordinario) di stipendio (da 6 aumenti a 7) da essa maturato già alla fine del mese di aprile 2016, ed effettivamente concessole solo il 1° gennaio 2017, quale conseguenza dell'allineamento generalizzato di aumenti e avanzamenti che ha interessato tutti i dipendenti e che, a ben vedere, non è di per sé contestato. La ricorrente critica piuttosto il fatto che l'autorità di nomina ha ignorato l'avanzamento in classe 22 al quale essa avrebbe avuto diritto a partire dal 1° gennaio 2018 a seguito dell'ottenimento dell'attestato professionale federale di agente di custodia nel luglio 2017 (cfr. punto n. 4.8 pag. 37 risoluzione governativa n. 811 del 24 febbraio 2016 ora abrogata). A torto tuttavia. La decisione di considerare, per la transizione dal precedente sistema remunerativo a quello attuale, lo stipendio percepito dalla dipendente al 31 dicembre 2017 è perfettamente in linea con gli obiettivi di politica salariale fissati dall'autorità cantonale (in particolare: sospensione di aumenti / avanzamenti, allineamento dei medesimi e passaggio al nuovo modello salariale con garanzia dello stipendio percepito in precedenza), correttamente trasposti nell'art. 41 cpv. 3 e 4 LStip. Come sopra ricordato (consid. 2), l'autorità cantonale ha espressamente rifiutato la possibilità di considerare in questi casi gli aumenti o avanzamenti maturati nel corso del 2017. La volontà del legislatore emerge in modo chiaro dai lavori parlamentari e non abbisogna di ulteriori interpretazioni o commenti. Pertanto, per i dipendenti in carriera "agganciati" al 1° gennaio 2018 il reddito determinante per il passaggio al nuovo modello salariale è l'ultimo percepito (in casu dicembre 2017) e non può tenere conto dell'aumento o dell'avanzamento del quale avrebbero beneficiato unicamente sotto l'egida del precedente impianto normativo. Traposti tutti questi principi alla fattispecie, si ha che la decisione impugnata, pur severa possa essere risentita dall'interessata, è esente da ogni critica. L'attribuzione della classe immediatamente superiore (4 con 6 aumenti per fr. 67'299.- annui lordi al 100%) al suo precedente reddito (fr. 67'248.-) non può che essere confermata. In particolare non si vede quale violazione del principio della buona fede possa essere dedotta con successo dinanzi a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