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52.2017.575 vom 9. Dezember 2016</w:t>
      </w:r>
    </w:p>
    <w:p>
      <w:r>
        <w:t>TI Tribunale d'appello, 2016-12-09, IT</w:t>
      </w:r>
    </w:p>
    <w:p>
      <w:r>
        <w:rPr>
          <w:b/>
        </w:rPr>
        <w:t xml:space="preserve">Quelle: </w:t>
      </w:r>
      <w:r>
        <w:t>https://mcp.opencaselaw.ch/entscheid/ti_gerichte_52.2017.575</w:t>
      </w:r>
    </w:p>
    <w:p>
      <w:r>
        <w:t>FR: TI_GERICHTE 52.2017.575 du 9 décembre 2016</w:t>
      </w:r>
    </w:p>
    <w:p>
      <w:r>
        <w:t>IT: TI_GERICHTE 52.2017.575 del 9 dicembre 2016</w:t>
      </w:r>
    </w:p>
    <w:p>
      <w:pPr>
        <w:pStyle w:val="Heading2"/>
      </w:pPr>
      <w:r>
        <w:t>Regeste</w:t>
      </w:r>
    </w:p>
    <w:p>
      <w:r>
        <w:t>Rilascio di un permesso di dimora (ricongiungimento famigliare)</w:t>
      </w:r>
    </w:p>
    <w:p>
      <w:pPr>
        <w:pStyle w:val="Heading2"/>
      </w:pPr>
      <w:r>
        <w:t>Erwägungen</w:t>
      </w:r>
    </w:p>
    <w:p>
      <w:r>
        <w:rPr>
          <w:b/>
        </w:rPr>
        <w:t>E. 47</w:t>
      </w:r>
    </w:p>
    <w:p>
      <w:r>
        <w:t>cpv. 1 e 3 lett. a LStrI. 3.3. Inoltre il ricongiungimento, fatto valere entro cinque anni dall'entrata in Svizzera del ricorrente, non può essere definito come abusivo. Per quanto riguarda in particolare il figlio __________ , va osservato che al momento della domanda egli non aveva ancora compiuto il 12° anno di età sancito dalla legge e non è dunque in contrasto con uno degli scopi ricercati mediante l'adozione dei termini disciplinati all'art. 47 LStrI, ovvero quello di favorire una rapida integrazione dei figli attraverso un ricongiungimento precoce e la concessione della possibilità di far loro seguire l'intera formazione scolastica in Svizzera (STF 2C_877/2015 del 20 febbraio 2017 consid. 3.3; 2C_363/2016 del 25 agosto 2016 consid. 2.2; vedasi anche il Messaggio dell'8 marzo 2002 relativo alla legge federale sugli stranieri, FF 2002 pag. 3327 segg., p.to 1.3.7.7). Tenuto pure conto che la richiesta in rassegna si prefigge di riunire l'intero nucleo famigliare, che nella notifica di arrivo RI 1 aveva indicato quale suo indirizzo di provenienza dall'estero quello di residenza di sua moglie e di suo figlio (__________ S__________: cfr. anche formulario per la domanda di visto per un soggiorno lungo del 5 ottobre 2016), e che non vi sono elementi tali da ritenere che gli interessati non abbiano vissuto in comunione domestica sull'arco di quel periodo. 4.   4.1. Dato inoltre che al momento dell'istanza l'appartamento di 3 ½ locali in via __________ a __________ preso in locazione a decorrere dal 1° dicembre 2016 era conforme ai bisogni di una famiglia di 3 persone , che RI 1 svolgeva un'attività lucrativa e che dagli atti non risultavano violazioni di ordine pubblico tali da comportare il diniego del permesso richiesto, il ricorso va dunque accolto senza ulteriore disamina. L a decisione dipartimentale impugnata va pertanto annullata, così come quella governativa che la tutela. Gli atti vanno quindi retrocessi all'autorità dipartimentale, affinché rilasci un permesso di dimora annuale a __________ e __________. 4.2. Visto l'esito del ricorso, si prescinde dal prelievo di una tassa di giustizia e delle spese. Lo Stato del Cantone Ticino rifonderà al ricorrente un'adeguata indennità a titolo di ripetibili per entrambe le sedi ricorsuali (art. 49 cpv. 1 LPAmm). Per questi motivi, decide: 1.   Il ricorso è accolto. §.  Di conseguenza sono annullate: 1.1.   la risoluzione dell'11 ottobre 2017 (n. 4540) del Consiglio di Stato; 1.2.   la decisione del 9 dicembre 2016 (ST 299) del Dipartimento delle istituzioni, Sezione della popolazione. 2.   Gli atti sono retrocessi alla Sezione della popolazione affinché rilasci un permesso di dimora annuale a __________ (1969) e a __________. 3 .   Non si prelevano né tassa di giustizia né spese. Al ricorrente va restituita l a somma di fr. 1'500.– versata a titolo di anticipo per le presunte spese processuali. 4.   Lo Stato del Cantone Ticino rifonderà all'insorgente complessivamente fr. 1'800.– a titolo di ripetibili per entrambe le sedi ricorsuali.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