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52.2017.454 vom 10. Juli 2017</w:t>
      </w:r>
    </w:p>
    <w:p>
      <w:r>
        <w:t>TI Tribunale d'appello, 2017-07-10, IT</w:t>
      </w:r>
    </w:p>
    <w:p>
      <w:r>
        <w:rPr>
          <w:b/>
        </w:rPr>
        <w:t xml:space="preserve">Quelle: </w:t>
      </w:r>
      <w:r>
        <w:t>https://mcp.opencaselaw.ch/entscheid/ti_gerichte_52.2017.454</w:t>
      </w:r>
    </w:p>
    <w:p>
      <w:r>
        <w:t>FR: TI_GERICHTE 52.2017.454 du 10 juillet 2017</w:t>
      </w:r>
    </w:p>
    <w:p>
      <w:r>
        <w:t>IT: TI_GERICHTE 52.2017.454 del 10 luglio 2017</w:t>
      </w:r>
    </w:p>
    <w:p>
      <w:pPr>
        <w:pStyle w:val="Heading2"/>
      </w:pPr>
      <w:r>
        <w:t>Regeste</w:t>
      </w:r>
    </w:p>
    <w:p>
      <w:r>
        <w:t>Contributi di miglioria</w:t>
      </w:r>
    </w:p>
    <w:p>
      <w:pPr>
        <w:pStyle w:val="Heading2"/>
      </w:pPr>
      <w:r>
        <w:t>Erwägungen</w:t>
      </w:r>
    </w:p>
    <w:p>
      <w:r>
        <w:rPr>
          <w:b/>
        </w:rPr>
        <w:t>E. 1</w:t>
      </w:r>
    </w:p>
    <w:p>
      <w:r>
        <w:t>La competenza del Tribunale cantonale amministrativo è data dall'art. 13 cpv. 3a della legge sui contributi di miglioria del 24 aprile 1990 (LCM; RL 703.100). La legittimazione attiva degli insorgenti, destinatari della decisione impugnata (art. 65 cpv. 1 della legge sulla procedura amministrativa del 24 settembre 2013; LPAmm; RL 165.100), nonché la tempestività del gravame (art. 13 cpv. 3a LCM e art. 68 cpv. 1 LPAmm), sono certe. Lo stesso è dunque ricevibile in ordine e può essere evaso sulla base degli atti, senza istruttoria (art. 25 cpv. 1 LPAmm).</w:t>
      </w:r>
    </w:p>
    <w:p>
      <w:r>
        <w:rPr>
          <w:b/>
        </w:rPr>
        <w:t>E. 2.1</w:t>
      </w:r>
    </w:p>
    <w:p>
      <w:r>
        <w:t>Anzitutto gli insorgenti rimproverano al Tribunale di espropriazione di essere venuto meno ai suoi doveri di motivazione per non aver indicato le ragioni per cui l'accesso preesistente, costituito grazie alle servitù di passo reciproche concordate con i proprietari dei fondi vicini, non permetterebbe di ritenere l'esistenza per il loro mappale di un vantaggio inferiore a quello preso in considerazione dal Municipio.</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2a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w:t>
      </w:r>
    </w:p>
    <w:p>
      <w:r>
        <w:rPr>
          <w:b/>
        </w:rPr>
        <w:t>E. 2.2.2</w:t>
      </w:r>
    </w:p>
    <w:p>
      <w:r>
        <w:t>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Nel caso concreto detti requisiti minimi di motivazione sono stati senz'altro soddisfatti dall'istanza precedente. Quest'ultima ha infatti esposto in maniera sufficientemente chiara i fatti e le ragioni poste alla base del suo giudizio. Prova ne è che nel loro gravame, inoltrato per il tramite di uno sperimentato legale, i ricorrenti sono stati in grado di contestare il giudizio impugnato in maniera precisa e circostanziata, dimostrando in questo modo di averne perfettamente compreso la portata. In sostanza il Tribunale di espropriazione ha ritenuto che il vantaggio dato dall'intervento comunale, che ha permesso la conveniente urbanizzazione della proprietà in oggetto, non possa considerarsi diminuito dalla preesistente di una strada privata, costruita a titolo provvisorio al solo fine di anticipare l'edificazione di alcuni fondi e ad ogni modo inadeguata ad una zona residenziale.</w:t>
      </w:r>
    </w:p>
    <w:p>
      <w:r>
        <w:rPr>
          <w:b/>
        </w:rPr>
        <w:t>E. 3.1</w:t>
      </w:r>
    </w:p>
    <w:p>
      <w:r>
        <w:t>Il contributo di miglioria rappresenta una partecipazione del privato alle spese per oneri o impianti eseguiti dallo Stato o dai Comuni o consorzi di Comuni nell'interesse generale (pubblica utilità), che viene imposta alle persone o gruppi di persone cui le opere o gli impianti procurano vantaggi economici particolari. Costituisce uno dei mezzi di finanziamento di cui l'ente pubblico dispone per l'adempimento dei compiti affidatigli dalla legge, in particolare per l'urbanizzazione tempestiva dei fondi di cui lo stesso è responsabile (STA 52.2013.103 del 23 luglio 2013 consid. 3.3.1, 52.2012.289 del 17 maggio 2013 consid. 2.2.1, 52.2011.299 del 19 luglio 2012 consid. 2.2.1, 52.2010.321 del 7 dicembre 2011 consid. 2.2.1; Adelio Scolari, Tasse e contributi di miglioria, Bellinzona 2005, n. 159 e segg.; Marco Brenni/ Gianfranco Sciarini, Contributi di miglioria, applicazione secondo la nuova legge del 24.4.1990, in: RDAT 1993-II pag. 308).</w:t>
      </w:r>
    </w:p>
    <w:p>
      <w:r>
        <w:rPr>
          <w:b/>
        </w:rPr>
        <w:t>E. 3.2</w:t>
      </w:r>
    </w:p>
    <w:p>
      <w:r>
        <w:t>Nel cantone Ticino la LCM stabilisce, tra l'altro, che i Comuni sono tenuti a prelevare contributi siffatti per le opere che procurano vantaggi particolari (art. 1 cpv. 1 LCM). Danno luogo a contributo, segnatamente, le opere di urbanizzazione generale e particolare dei terreni (art. 3 cpv. 1 lett. a LCM).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urbanizzazione generale la quota a carico dei proprietari non può essere inferiore al 30% né superiore al 60% e per le opere di urbanizzazione particolare inferiore al 70% della spesa determinante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3.3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Perciò, in caso di contestazioni, il Tribunale di espropriazione deve limitarsi a verificare che l'esercizio del potere d'apprezzamento da parte dell'autorità di prime cure sia contenuto nei termini prestabiliti e si fondi su considerazioni serie e pertinenti. I medesimi principi valgono anche per questa Corte. Infatti, il ricorso al Tribunale cantonale amministrativo è proponibile contro la violazione del diritto, compreso l'eccesso e l'abuso del potere d'apprezzamento, e l'accertamento inesatto o incompleto dei fatti giuridicamente rilevanti (art. 69 cpv. 1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 ed., Zurigo/San Gallo 2016, n. 1148; Adelio Scolari , Diritto amministrativo, parte generale, 2a ed., Cadenazzo 2002, n. 407 segg.; Borghi/ Corti , op. cit., ad art. 61, n. 2d).</w:t>
      </w:r>
    </w:p>
    <w:p>
      <w:r>
        <w:rPr>
          <w:b/>
        </w:rPr>
        <w:t>E. 3.4</w:t>
      </w:r>
    </w:p>
    <w:p>
      <w:r>
        <w:t>La legge cantonale sui contributi di miglioria prevede altresì che il diritto di imposizione è perento se il prospetto dei contributi non è pubblicato entro due anni dalla messa in esercizio dell'opera (art. 16 LCM). Il contributo è esigibile a decorrere dalla messa in esercizio dell'opera; acconti possono essere chiesti con l'inizio dei lavori (art. 17 cpv. 1 LCM). Pagamenti rateali e altre agevolazioni possono essere concessi a seconda della particolarità di ogni singolo caso (art. 17 cpv. 2 LCM). Il reclamo e il ricorso non sospendono l'esigibilità del contributo (art. 13 cpv. 4 LCM). Se il contributo non è pagato nel termine stabilito, decorre l'interesse semplice al saggio usuale; l'interesse decorre anche nel caso di reclamo e ricorso (art. 18 cpv. 1 e 2 LCM).</w:t>
      </w:r>
    </w:p>
    <w:p>
      <w:r>
        <w:rPr>
          <w:b/>
        </w:rPr>
        <w:t>E. 4.1</w:t>
      </w:r>
    </w:p>
    <w:p>
      <w:r>
        <w:t>Come accennato in narrativa, i ricorrenti contestano il fattore interesse all'opera applicato dal Municipio per il calcolo dei contributi posti a loro carico, chiedendo che lo stesso sia ridotto da 1 a 0.4. Sostengono che il mappale n. _______ di _______ era già urbanizzato e pronto all'edificazione prima che fosse realizzata la nuova opera stradale. A loro dire, ciò farebbe sì che il vantaggio particolare di cui ha beneficiato il fondo sarebbe inferiore rispetto a quello di cui hanno usufruito gli altri mappali posti a monte di Via __________, i quali in precedenza erano sprovvisti di qualsiasi accesso stradale e pertanto non potevano essere edificati. Il mappale n. __________ era, sempre secondo gli insorgenti, accessibile sia tramite il percorso veicolare che occupava i fondi privati di cui alle part. n. _______, _______, _______, _______ e _______ (creato mediante l'iscrizione a registro fondiario di più servitù di passo reciproche), sia attraverso le contermini particelle n. __________ e __________, pure di loro proprietà, le quali da tempo sono servite dalla strada comunale parallela (via __________) a via __________. L'attribuzione di un fattore di interesse identico a quello di chi non godeva di alcun accesso veicolare configurerebbe dunque una lesione del principio della parità di trattamento.</w:t>
      </w:r>
    </w:p>
    <w:p>
      <w:r>
        <w:rPr>
          <w:b/>
        </w:rPr>
        <w:t>E. 4.2</w:t>
      </w:r>
    </w:p>
    <w:p>
      <w:r>
        <w:t>Anzitutto va rilevato che la strada privata preesistente era costituita da un tracciato in gran parte sterrato (cfr. progetto stradale n. 0493-200 del giugno 2013, e meglio rapporto fotografico n. 0493-214 [foto da 5 a 11] e doc. O1) e presentava una scarpata laterale a monte contenuta solo in parte da un muro provvisorio in elementi di cemento (verduro; cfr. incarto riferito alla licenza edilizia rilasciata il 3 aprile 2008, segnatamente scritto del 31 agosto 2010 da parte dei progettisti ai proprietari e al Municipio di __________). In concomitanza con edificazione tra il 2009 e il 2010 dei mappali __________, __________, __________, __________ e __________, in accordo con il Municipio, sono state posate al di sotto del sedime stradale le condotte di allacciamento necessarie alle cinque abitazioni (cfr. incarto riferito alla licenza edilizia rilasciata il 3 aprile 2008, segnatamente lettera del 4 dicembre 2009 da parte dei progettisti ai proprietari e al Municipio di __________, scritto del 25 febbraio 2010 del Comune di __________ ai progettisti e scritto del 31 agosto 2010 da parte dei progettisti ai proprietari e al Municipio di __________). Proprio in vista della realizzazione della nuova strada di servizio comunale (contemplata dal piano regolatore locale con variante adottata dal legislativo di __________ il 19 ottobre 2009 e approvata dal Consiglio di Stato il 7 dicembre 2010) e al fine di poter così anticipare i lavori di edificazione, i proprietari dei suddetti fondi avevano deciso di prevedere un tracciato provvisorio che permettesse di collegare le nuove case alla rete viaria comunale (cfr. incarto riferito alla licenza edilizia rilasciata il 3 aprile 2008, segnatamente incontro del 26 luglio 2010 tra il Municipio di __________ e i proprietari delle case in costruzione, nonché documenti sopracitati). L'intervento del Comune, che ha sostituito il percorso privato allora esistente (cfr. progetto stradale n. 0493-200 di giugno 2013 ed in particolare piano espropri [n. 0493-212] e planimetria progetto [n. 0493-203], nonché documentazione fotografica allegata al sopralluogo del 26 aprile 2016 esperito dal Tribunale di espropriazione), ha per contro permesso la prima vera e propria urbanizzazione dei fondi interessati dal progetto stradale: il nuovo accesso, interamente pavimentato e delimitato da mocche e cordonetti, ha un calibro minimo di 3.60 m; la scarpata a monte è stata sistemata in modo da essere adeguatamente contenuta e consentire il drenaggio e lo smaltimento delle acque; vi sono tre nuove caditoie per l'evacuazione dell'acqua piovana; inoltre sono state posate una condotta per le acque luride (che ora serve, a differenza di prima, anche il fondo degli insorgenti), una condotta per l'acqua potabile, nonché un nuovo tracciato dell'elettricità, che arriva adesso fino al mappale n. __________ e che permette inoltre un'opportuna illuminazione della via (cfr. progetto stradale n. 0493-200 di giugno 2013, segnatamente piano generale infrastrutture esistenti [n. 0493-208] e planimetria nuove infrastrutture [n. 0493-209]). Ne consegue pertanto che, contrariamente a quanto pretendono i ricorrenti, i vantaggi apportati dal nuovo tronco stradale sono ben lungi dall'essere di mera cosmesi. Il mappale n. __________ risulta oggi debitamente urbanizzato attraverso un'opera pubblica di carattere definitivo che evita oltretutto ai suoi proprietari l'inconveniente di dover transitare attraverso altri fondi privati per raggiungere la pubblica via. Ne discende pertanto che il vantaggio particolare che ne deriva per il sedime in questione è senz'altro considerevole e comparabile a quello di cui beneficiano tutti gli altri fondi serviti dalla nuova opera stradale, che non usufruiscono di altri fronti stradali. Il fatto che, quantomeno ipoteticamente, gli insorgenti avrebbero potuto ottenere una licenza edilizia prima della realizzazione della strada comunale è in specie irrilevante: così come i proprietari dei fondi a monte della strada e come di fatto avvenuto nell'ambito delle edificazioni delle particelle adiacenti a quella dei ricorrenti, essi avrebbero dovuto affrontare, rispettivamente farsi carico, di una serie di problematiche riferite all'accessibilità e all'allacciamento alle infrastrutture che, ad oggi, non sussistono più. In questo senso la situazione del mappale al centro della presente vertenza è equiparabile a quella di tutti gli altri fondi ai quali il Municipio ha rettamente applicato il medesimo fattore di interesse.</w:t>
      </w:r>
    </w:p>
    <w:p>
      <w:r>
        <w:rPr>
          <w:b/>
        </w:rPr>
        <w:t>E. 4.3</w:t>
      </w:r>
    </w:p>
    <w:p>
      <w:r>
        <w:t>Per quanto attiene all'ulteriore preteso accesso preesistente, dalla documentazione agli atti (documentazione fotografica allegata al sopralluogo del 26 aprile 2016 esperito dal Tribunale di espropriazione) emerge che sul mappale n. __________ sorge l'abitazione dei ricorrenti, il cui perimetro è recintato e adibito a giardino per cui non vi è alcun passaggio che permette di accedere al mappale n. __________ da via __________. Sul mappale n. __________ invece non risulta che via sia un accesso, né veicolare né pedonale, a meno di non voler passare per il prato che ricopre tutta l'area del fondo in questione. Inoltre sia la part. n. __________, che la part. n. __________ non sono gravate da nessuna servitù di passo in favore del mappale n. __________, con il che la giurisprudenza citata dai ricorrenti (STA 52.2011.14 del 13 novembre 2012 consid. 4.2) risulta del tutto inconferente. Se ne deve dunque concludere che, in assenza di un effettivo punto di passaggio e/o di diritti che garantiscano il transito attraverso quei terreni, a giusto titolo la decisione municipale, prima, e quella del Tribunale di espropriazione, in seguito, hanno rifiutato di riconoscervi un accesso veicolare sufficiente.</w:t>
      </w:r>
    </w:p>
    <w:p>
      <w:r>
        <w:rPr>
          <w:b/>
        </w:rPr>
        <w:t>E. 5.1</w:t>
      </w:r>
    </w:p>
    <w:p>
      <w:r>
        <w:t>Visto quanto precede, il ricorso va respinto con conseguente conferma della decisione impugnata e di quella da essa tutelata.</w:t>
      </w:r>
    </w:p>
    <w:p>
      <w:r>
        <w:rPr>
          <w:b/>
        </w:rPr>
        <w:t>E. 5.2</w:t>
      </w:r>
    </w:p>
    <w:p>
      <w:r>
        <w:t>Dato l'esito, la tassa di giustizia è posta a carico dei ricorrenti, in quanto soccombenti (art. 47 cpv. 1 LPAmm), i quali rifonderanno al Comune di __________, assistito da un legale, congrue ripetibili per questa istanza (art. 49 cpv. 1 LPAmm). Per questi motivi, decide: 1.   Il ricorso è respinto . 2. La tassa di giustizia di fr. 1'500.-, già anticipata dai ricorrenti, resta a loro carico. Gli insorgenti rifonderanno al Comune resistente fr.1'500.-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