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52.2017.31 vom 11. Oktober 2018</w:t>
      </w:r>
    </w:p>
    <w:p>
      <w:r>
        <w:t>TI Tribunale d'appello, 2018-10-11, IT</w:t>
      </w:r>
    </w:p>
    <w:p>
      <w:r>
        <w:rPr>
          <w:b/>
        </w:rPr>
        <w:t xml:space="preserve">Quelle: </w:t>
      </w:r>
      <w:r>
        <w:t>https://mcp.opencaselaw.ch/entscheid/ti_gerichte_52.2017.31</w:t>
      </w:r>
    </w:p>
    <w:p>
      <w:r>
        <w:t>FR: TI_GERICHTE 52.2017.31 du 11 octobre 2018</w:t>
      </w:r>
    </w:p>
    <w:p>
      <w:r>
        <w:t>IT: TI_GERICHTE 52.2017.31 del 11 ottobre 2018</w:t>
      </w:r>
    </w:p>
    <w:p>
      <w:pPr>
        <w:pStyle w:val="Heading2"/>
      </w:pPr>
      <w:r>
        <w:t>Erwägungen</w:t>
      </w:r>
    </w:p>
    <w:p>
      <w:r>
        <w:rPr>
          <w:b/>
        </w:rPr>
        <w:t>E. 7</w:t>
      </w:r>
    </w:p>
    <w:p>
      <w:r>
        <w:t>Va poi osservato che l'insorgente non può invocare la protezione dell'art. 8 della Convenzione per la salvaguardia dei diritti dell'uomo e delle libertà fondamentali del 4 novembre 1950 (CEDU; RS 0.101) che garantisce il rispetto della vita famigliare , ritenuto che è maggiorenne e non risulta che si trovi in un rapporto di dipendenza verso sua madre, con la quale non vive nella sua stessa comunione domestica. Condizioni, queste, che devono essere necessariamente adempiute per poter applicare tale disposto convenzionale. Non porta a diversa conclusione l'argomento secondo cui sua madre risulta limitata nei movimenti in quanto soffre di problemi di deambulazione. A prescindere dal fatto che non è stato dimostrato che essa necessiti della presenza del figlio (il ricorrente ha pure una sorella che vive in Ticino), i loro rapporti potranno comunque essere mantenuti anche rendendole regolarmente visita, dal momento che RI 1 non è stato colpito da un divieto di entrata in Svizzera. Le loro relazioni verranno pertanto salvaguardate. 8.   Stante quanto precede, si deve pertanto concludere che il provvedimento litigioso è stato adottato in esito a una corretta applicazione delle disposizioni legali determinanti. Esso risulta inoltre senz'altro rispettoso del principio di proporzionalità.</w:t>
      </w:r>
    </w:p>
    <w:p>
      <w:r>
        <w:rPr>
          <w:b/>
        </w:rPr>
        <w:t>E. 9</w:t>
      </w:r>
    </w:p>
    <w:p>
      <w:r>
        <w:t>In esito alle considerazioni che precedono, il ricorso deve dunque essere respinto. La risoluzione dipartimentale impugnata, cosi come quella governativa che la tutela, vanno quindi confermate in quanto immuni da violazioni del diritto. Con l'emanazione del presente giudizio, la domanda di conferimento dell'effetto sospensivo al gravame diviene priva di oggetto. L a tassa di giudizio è posta a carico del ricorrente, in quanto parte soccombente, conformemente all'art. 47 cpv. 1 LPAmm, ma tiene comunque conto della sua situazione finanziaria . Per questi motivi, dichiara e pronuncia: 1.   Il ricorso è respinto. 2.   Spese e tassa di giustizia, per complessivi fr. 600.–, sono poste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