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52.2016.328 vom 25. Januar 2017</w:t>
      </w:r>
    </w:p>
    <w:p>
      <w:r>
        <w:t>TI Tribunale d'appello, 2017-01-25, IT</w:t>
      </w:r>
    </w:p>
    <w:p>
      <w:r>
        <w:rPr>
          <w:b/>
        </w:rPr>
        <w:t xml:space="preserve">Quelle: </w:t>
      </w:r>
      <w:r>
        <w:t>https://mcp.opencaselaw.ch/entscheid/ti_gerichte_52.2016.328</w:t>
      </w:r>
    </w:p>
    <w:p>
      <w:r>
        <w:t>FR: TI_GERICHTE 52.2016.328 du 25 janvier 2017</w:t>
      </w:r>
    </w:p>
    <w:p>
      <w:r>
        <w:t>IT: TI_GERICHTE 52.2016.328 del 25 gennaio 2017</w:t>
      </w:r>
    </w:p>
    <w:p>
      <w:pPr>
        <w:pStyle w:val="Heading2"/>
      </w:pPr>
      <w:r>
        <w:t>Regeste</w:t>
      </w:r>
    </w:p>
    <w:p>
      <w:r>
        <w:t>Sanzione disciplinare</w:t>
      </w:r>
    </w:p>
    <w:p>
      <w:pPr>
        <w:pStyle w:val="Heading2"/>
      </w:pPr>
      <w:r>
        <w:t>Erwägungen</w:t>
      </w:r>
    </w:p>
    <w:p>
      <w:r>
        <w:rPr>
          <w:b/>
        </w:rPr>
        <w:t>E. 1</w:t>
      </w:r>
    </w:p>
    <w:p>
      <w:r>
        <w:t>CO ( Bohnet/Martenet , op. cit., n. 2876). 3.4. I suddetti obblighi derivanti dalla LLCA, oltre ad essere ricordati dall'art. 19 cpv. 1 LAvv - giusta il quale l'avvocato custodisce, conformemente all'art. 12 lett. h LLCA, le somme di denaro, le carte valori e le altre cose fungibili affidategli in modo da poterle restituire in ogni momento, riservati i diritti di compensazione e ritenzione previsti dalla legge - sono previsti anche a livello di norme deontologiche (che, pur non avendo valore normativo, costituiscono, nella misura in cui riflettono una concezione largamente diffusa a livello nazionale, una fonte d'ispirazione per l'interpretazione delle regole professionali sancite dallo Stato; cfr. DTF 136 III 296 consid. 2.1; 130 II 270 consid. 3.1.1; Bohnet/ Martenet , op. cit., n. 296). In particolare, l'art. 23 CSD riprende sia il concetto di separazione dei patrimoni sia l'obbligo di restituzione dell'avvocato; precisa inoltre che le somme incassate per il cliente devono essergli immediatamente riversate, riservato il diritto dell'avvocato di far valere propri crediti. Dello stesso tenore è pure l'art. 16 del codice professionale dell'Ordine degli avvocati del Cantone Ticino dell'11 novembre 2004 (CAvv; RL 3.2.1.1.4), secondo cui l'avvocato deve depositare su conti separati gli averi pecuniari del cliente e deve sempre essere in grado di restituirli (cpv. 1), mentre le somme incassate per il cliente devono essergli immediatamente trasmesse, riservato il diritto dell'avvocato di trattenere l'importo dovutogli per onorari e spese (cpv. 2). 4.   4.1. In concreto, nell'ambito di una causa di divorzio, l'avv. RI 1 ha incassato per conto della sua cliente delle importanti somme di denaro, bonificate dalla controparte a titolo di contributo di mantenimento. In particolare, ha incasso fr. 110'000.- il 3 luglio 2014, fr. 46'190.20 l'11 luglio successivo e fr. 31'755.69 il 19 agosto 2014. Di tali importi, pervenuti sul suo conto clienti e pari a complessivi fr. 187'945.89, il ricorrente ha girato alla sua cliente soltanto una parte il 10 luglio 2014 (fr. 110'000.-; cfr. doc. G/0, G/22 e G/23). La restante somma è stata da lui trattenuta, per la maggior parte a titolo di acconti (fatture del 16 luglio 2013, 16 giugno, 25 agosto, 17 ottobre 2014 e 3 gennaio 2015) rispettivamente in parziale compensazione della sua nota d'onorario finale. L'importo di fr. 10'566.84 (pari a Euro 8'564.40) è invece stato utilizzato il 17 luglio 2014 per saldare la parcella dell'avv. __________ (cfr. doc. G/0 e G 27), legale italiano assunto da __________. Dagli atti risulta inoltre che - così come denunciato dalla segnalante - la stessa, dopo aver sollecitato il 10 settembre 2014 l'estratto conto dei versamenti, il 15 settembre 2014 aveva richiesto al ricorrente, senza successo, dapprima di girarle il citato importo di fr. 31'755.60, sollecitandolo poi, il</w:t>
      </w:r>
    </w:p>
    <w:p>
      <w:r>
        <w:rPr>
          <w:b/>
        </w:rPr>
        <w:t>E. 1.2</w:t>
      </w:r>
    </w:p>
    <w:p>
      <w:r>
        <w:t>Il giudizio può essere emanato sulla base degli atti (art. 25 cpv. 1 LPAmm), senza istruttoria. Ad una valutazione anticipata (cfr. DTF 141 I 60 consid. 3.3; 140 I 285 consid. 6.3.1; 136 I 229 consid. 5.3 e rimandi), come si vedrà più avanti (consid. 4.3), l'audizione testimoniale del legale italiano sollecitata dal ricorrente non appare idonea ad apportare al Tribunale la conoscenza di ulteriori elementi rilevanti per l'esito della controversia. 2.   L'insorgente rimprovera alla precedente istanza di non avere dato seguito alla sua richiesta di raccogliere la deposizione (scritta od orale) dell'avv. __________. La censura va disattesa, già perché l'insorgente non ha formalmente chiesto l'assunzione di siffatto mezzo probatorio, limitandosi genericamente ad indicare che il legale italiano avrebbe potuto confermare la circostanza secondo cui la loro comune cliente era a conoscenza dell'avvenuto pagamento della sua nota professionale (cfr. osservazioni 7 dicembre 2015, pag. 5). Non è dunque dato di vedere in che modo possa essere stato violato il suo diritto di essere sentito. Nulla gli impediva peraltro di raccogliere e produrre già prima dell'emanazione della decisione impugnata una dichiarazione scritta del legale italiano. 3.   3.1. La LLCA garantisce la libera circolazione degli avvocati e stabilisce i principi applicabili all'esercizio dell'avvocatura in Svizzera (art. 1 LLCA). La normativa unifica e disciplina in modo esaustivo a livello federale taluni aspetti dell'esercizio dell'avvocatura, in particolare le regole professionali (art. 12-13) e le sanzioni disciplinari (art. 17; cfr. Messaggio del 28 aprile 1999 concernente la legge federale sulla libera circolazione degli avvocati in: FF 1999, pag. 4983 segg., in particolare pag. 4984 e 5007, n. 172.2). 3.2. Secondo l'art. 12 lett. h LLCA l'avvocato custodisce separatamente dal proprio patrimonio gli averi che gli sono affidati. Per averi affidati s'intendono sia i beni (somme di denaro o altro) che vengono consegnati all'avvocato direttamente dal cliente, sia quelli che l'avvocato riceve da terzi per conto del suo cliente ( François Bohnet/Vincent Martenet , Droit de la profession d'avocat, Berna 2009 , n. 1764; Walter Fellmann in: Walter Fellmann/Gaudenz Zindel [curatori], Kommentar zum Anwaltsgesetz, II ed., Zurigo/Basilea/Ginevra 2011, n. 150 e 153; Michel Valticos in: Michel Valticos/Christian M. Reiser/Benoît Chappuis [curatori], Loi sur les avocats, Basilea 2010, ad art. 12, n. 266). 3.3. L'obbligo di separare i patrimoni garantisce che i creditori dell'avvocato non possano pignorare gli averi che gli sono stati affidati (cfr. Messaggio LLCA citato, n. 233.25, pag. 5024, che fa cenno anche ragioni di ordine fiscale; Fellmann , op. cit., n. 150). La suddetta regola professionale - che implica anche l'obbligo di conservare e amministrare diligentemente gli averi affidatigli, come pure di renderne conto al cliente (presentando periodicamente una contabilità delle entrate e delle uscite, laddove il mandato implica flussi di somme di denaro, cfr. al riguardo: Fellmann, op. cit., n. 152; Valticos , op. cit., n. 266 e 268) - mira ad assicurare il rispetto del dovere del mandatario di restituire a prima richiesta tutto ciò che per qualsiasi titolo ha ricevuto dal cliente o da terzi in forza del mandato (art. 400 cpv. 1 del codice delle obbligazioni del 30 marzo 1911; CO; RS 220; Bohnet/Martenet , op. cit., n. 1765; Fellmann , op. cit., n. 150). Ne deriva che viola l'art. 12 lett. h LLCA l'avvocato che non è in grado di restituire entro breve termine i beni affidatigli, rispettivamente che tarda a farlo (cfr. Fellmann , op. cit., n. 154 e 155; contra: Bohnet/Martenet , op. cit., n. 1772 e 2854, secondo cui in tal caso l'avvocato violerebbe il suo dovere di esercitare la professione con cura e diligenza giusta l'art. 12 lett. a LLCA). Resta riservata la facoltà dell'avvocato di opporre, a determinate condizioni, un diritto di ritenzione (reale o personale), l'eccezione d'inesecuzione (art. 82 CO) o la compensazione con il credito da lui vantato per i suoi onorari rispettivamente per il rimborso degli anticipi e delle spese pagati per la regolare esecuzione del mandato. Dottrina e giurisprudenza ritengono tuttavia che una compensazione con crediti propri si possa rivelare contraria alle regole professionali allorquando l'avvocato sa o deve presumere che la situazione finanziaria del suo cliente è difficile e che la compensazione lo priverebbe dei mezzi necessari per il sostentamento suo e della sua famiglia ( Fellmann , op. cit., n. 156; Benoît Chappuis , La profession d'avocat, Tome I: Le cadre légal et les principes essentiels, Zurigo 2016, pag. 89; Bohnet/Martenet , op. cit., n. 1770 seg. e 2861-2876, secondo cui la stessa limitazione dovrebbe valere per il diritto di ritenzione; Valticos , op. cit., ad art. 12, n. 29, 31 e 269 e segg.). In tal caso, la compensazione deve essere considerata nulla poiché contraria ai buoni costumi ai sensi dell'art. 20 cpv.</w:t>
      </w:r>
    </w:p>
    <w:p>
      <w:r>
        <w:rPr>
          <w:b/>
        </w:rPr>
        <w:t>E. 3</w:t>
      </w:r>
    </w:p>
    <w:p>
      <w:r>
        <w:t>ottobre 2014, a versargli la somma di fr. 10'000.- (cfr. doc. Q, allegati 1, 2 e 5). 4.2. Con la decisione impugnata, la Commissione ha ritenuto che il ricorrente fosse incorso in una violazione del dovere di restituzione ai sensi dell'art. 12 lett. h LLCA. Non tanto per aver trattenuto complessivi fr. 66'380.- quali acconti sulla propria nota finale (di cui fr. 57'380.- durante il mandato e fr. 9'000.- al termine dello stesso) - ciò che per la precedente istanza sarebbe senz'altro stato legittimato a fare a titolo di compensazione - ma per aver effettuato il versamento all'avv. __________, attingendo a beni della denunciante, senza  girarle immediatamente l'importo oppure richiederle una preventiva autorizzazione. 4.3. Ora, anche volendo ammettere che __________ avesse (almeno implicitamente) acconsentito al pagamento delle prestazioni del legale italiano, così come sostiene il ricorrente, ciò non permetterebbe comunque di sovvertire l'esito della decisione impugnata. Dagli atti risulta infatti con evidenza che l'insorgente, omettendo di restituire (almeno) una parte dell'importo (fr. 77'945.89) incassato per conto della denunciante, al più tardi dopo il 15 settembre 2014, allorquando la stessa aveva formulato la prima esplicita richiesta (cfr. doc. Q, allegato 1), ha in ogni caso violato il suo dovere di restituzione. Da una semplice lettura della citata scheda contabile (doc. G/0) stilata dal ricorrente risulta infatti che, a quel momento, il conto clienti a nome della denunciante presentava un attivo pari a fr. 21'659.05. E ciò, tenendo conto del saldo di tutte fatture per acconti sino a quel momento emesse dall'avv. RI 1 (1°, 2° e 3° acconto per complessivi fr. 36'720.-), della garanzia anticipo alimenti (fr. 9'000.-), come pure della notula dell'avv. __________ (fr. 10'566.84), che era già stata saldata due mesi prima. A quel momento, contrariamente a quanto concluso dalla Commissione, il ricorrente non era invece abilitato a trattenere - a mò di compensazione - degli ulteriori importi a suo favore, quale onorario per prestazioni che non solo non aveva essenzialmente ancora effettuato, ma neppure ancora fatturato (i successivi acconti 4° e 5° e la nota finale essendo di data ben posteriore); a quel momento non vantava pertanto altri crediti esigibili, che poteva opporre alla cliente per venir meno al suo dovere di restituzione (cfr. art. 120 cpv. 1 CO; cfr. Walter Fellman , Berner Kommentar, Berna 1992, ad art. 400 CO, n. 50 e Bohnet/Martenet , op. cit., n. 2979, secondo cui l'esigibilità degli onorari presuppone la presentazione di una fattura al cliente). Non porta ad altra conclusione la circostanza che, con lo stesso email del 15 settembre 2014, la segnalante lo avesse autorizzato a trattenere l'importo di fr. 46'190.20 quale acconto per le spese legali maturate . Anche volendo attribuire a questo email il valore di un (maggiore) acconto spontaneo - a copertura dell'onorario (ca. fr. 44'000.-) per le sue sole prestazioni sino a quel momento effettuate (cfr. osservazioni 7 dicembre 2015 del ricorrente, pag. 3) - resta pur sempre il fatto che, anche in questo caso, l'avv. RI 1 avrebbe dovuto girare immediatamente alla denunciante (almeno) un importo pari a ca. fr. 12'000.- (fr. 77'945.89 - 46'190.20 - 10'566.84 - 9'000.-). A maggior ragione allorquando la stessa, il 3 ottobre 2014, lo ha pregato per la seconda volta - invano - di versarle fr. 10'000.-, poiché aveva delle fatture in diffida delle assicurazioni e una fattura dell'avvocato in Svezia da pagare altrimenti non procede col lavoro. Al di là della questione a sapere se il ricorrente fosse o meno abilitato a saldare direttamente la fattura dell'avv. __________, non avendo restituito senza indugio neppure una parte delle somme in questione - nonostante le reiterate richieste della cliente - ma essendosi più che altro premurato di trattenere l'importo residuo per poterlo successivamente porre in compensazione con suoi futuri crediti (cfr. citata scheda contabile e relative fatture), senza esserne autorizzato, è evidente che egli ha senz'altro violato l'art. 12 lett. h LLCA. 5.   Ferme queste premesse, resta da verificare l'entità della sanzione da infliggere al ricorrente. 5.1. In caso di violazione della LLCA, l'art. 17 cpv. 1 prevede le misure disciplinari seguenti: a. l'avvertimento; b. l'ammonimento; c. la multa fino a fr. 20'000.-; d. la sospensione dall'esercizio dell'avvocatura per due anni al massimo; e. il divieto definitivo di esercitare. La multa può essere cumulata con la sospensione dall'esercizio dell'avvocatura o con il divieto definitivo di esercitare (art. 17 cpv. 2 LLCA). La Commissione gode di un certo margine di apprezzamento nella scelta della misura disciplinare, nella fissazione dell'importo di un'eventuale multa o della durata della sospensione dall'esercizio della professione. L'autorità deve tuttavia attenersi al rispetto dei principi della proporzionalità e della parità di trattamento e, in generale, la sanzione deve rispondere a un interesse pubblico. Il provvedimento deve tenere conto in maniera appropriata della natura e della gravità della violazione delle regole professionali. Inoltre, il numero di violazioni gioca evidentemente un ruolo. Occorre poi considerare lo scopo che la sanzione disciplinare deve raggiungere nel caso concreto e scegliere il provvedimento adatto, necessario e proporzionato a tale fine. Così come avviene nel diritto penale (cfr. art. 47 e 48 del codice penale svizzero del 21 dicembre 1937; CP; RS 311.0), l'autorità terrà in particolar modo conto anche degli antecedenti, così come del comportamento tenuto dall'avvocato durante la procedura disciplinare (cfr. STA 52.2015.68 del 4 dicembre 2015 consid. 8; Bohnet/Martenet, op. cit., n. 2178, 2183-2187; Tomas Poledna, in Fellmann/Zindel [curatori], Kommentar zum Anwaltsgesetz, Zurigo 2011, ad art. 17 n. 23 segg.). 5.2. In concreto, l'avv. RI 1 è incorso in una violazione di una regola professionale che non può essere considerata propriamente trascurabile, ma va annoverata fra quelle di media entità. A maggior ragione se si considera che, come messo in evidenza dalla Commissione, ha dimostrato perlomeno una certa disinvoltura nel disporre dei beni che spettavano alla sua cliente, che anche dopo il secondo sollecito 3 ottobre 2014 - rimasto lettera morta - si è per finire vista erodere ogni saldo ancora a suo favore con le successive compensazioni operate dal ricorrente. Se non giova all'insorgente il fatto di non aver mostrato segni di autocritica e ravvedimento, depone per contro a suo favore la circostanza che non abbia antecedenti. 5.3. Alla luce di tutto quanto esposto, si giustifica pertanto di confermare la multa di fr. 500.- inflitta dalla Commissione, per la violazione di cui si è detto. L a sanzione così commisurata, situata attorno al limite inferiore di quanto prescritto dalla norma, risulta adeguatamente ragguagliata alle circostanze del caso concreto e rispettosa del principio della proporzionalità. Tiene adeguatamente conto dell'incensuratezza del ricorrente e appare sufficiente a richiamarlo al rispetto dei principi deontologici che sono stati in concreto disattesi. 6.   6.1. Stante tutto quanto precede, il ricorso deve essere respinto. 6.2. Dato l'esito, la tassa di giustizia (art. 47 cpv. 1 LPAmm) è posta a carico dell'insorgente, secondo soccombenza. Per questi motivi, dichiara e pronuncia: 1.   Il ricorso è respinto. 2.   La tassa di giustizia di fr. 1'500.-, già anticipata dal ricorrente, resta interamente a suo carico. 3.   Contro la presente decisione è dato ricorso in materia di diritto pubblico al Tribunale federale a Losanna entro il termine di 30 giorni dalla sua notificazione (art. 82 segg. legge sul Tribunale federale del 17 giugno 2005; LTF; RS 173.110). 4.   Intimazione a: .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