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52.2016.301 vom 29. September 2016</w:t>
      </w:r>
    </w:p>
    <w:p>
      <w:r>
        <w:t>TI Tribunale d'appello, 2016-09-29, IT</w:t>
      </w:r>
    </w:p>
    <w:p>
      <w:r>
        <w:rPr>
          <w:b/>
        </w:rPr>
        <w:t xml:space="preserve">Quelle: </w:t>
      </w:r>
      <w:r>
        <w:t>https://mcp.opencaselaw.ch/entscheid/ti_gerichte_52.2016.301</w:t>
      </w:r>
    </w:p>
    <w:p>
      <w:r>
        <w:t>FR: TI_GERICHTE 52.2016.301 du 29 septembre 2016</w:t>
      </w:r>
    </w:p>
    <w:p>
      <w:r>
        <w:t>IT: TI_GERICHTE 52.2016.301 del 29 settembre 2016</w:t>
      </w:r>
    </w:p>
    <w:p>
      <w:pPr>
        <w:pStyle w:val="Heading2"/>
      </w:pPr>
      <w:r>
        <w:t>Regeste</w:t>
      </w:r>
    </w:p>
    <w:p>
      <w:r>
        <w:t>Commesse pubbliche. L'offerta della deliberataria, priva della dicitura esterna prescritta, avrebbe dovuto essere scartata</w:t>
      </w:r>
    </w:p>
    <w:p>
      <w:pPr>
        <w:pStyle w:val="Heading2"/>
      </w:pPr>
      <w:r>
        <w:t>Erwägungen</w:t>
      </w:r>
    </w:p>
    <w:p>
      <w:r>
        <w:rPr>
          <w:b/>
        </w:rPr>
        <w:t>E. 24</w:t>
      </w:r>
    </w:p>
    <w:p>
      <w:r>
        <w:t>giugno 2010); solo gli errori di calcolo o di scrittura possono essere rettificati (cfr. art. 42 cpv. 2 e 47 cpv. 3 regolamento di applicazione della legge sulle commesse pubbliche e del concordato intercantonale sugli appalti pubblici del 12 settembre 2006; RLCPubb/ CIAP, RL 7.1.4.1.6); che l'ordinamento delle commesse pubbliche attribuisce alle prescrizioni di forma particolare rilevanza; quanto meno nella misura in cui servono a garantire i principi cardine delle procedure di aggiudicazione, come quello della trasparenza e della parità di trattamento tra i concorrenti, le prescrizioni di forma devono essere rispettate tanto da parte del committente, quanto da parte dei concorrenti; resta riservato il divieto di formalismo eccessivo, derivante dall'art. 29 della Costituzione federale della Confederazione Svizzera del 18 aprile 1999 (Cost.; RS 101), che impedisce al committente di escludere offerte viziate da difetti formali irrilevanti; che l'esclusione dalla gara per motivi formali presuppone in ogni caso l'esistenza di un vizio di una certa importanza (cfr. STA 52.2011.589 del 6 febbraio 2012 consid. 2.3; 52.2011.153 dell'11 maggio 2011 consid. 2; 52.2010.149 del 7 giugno 2010 e riferimenti ivi contenuti ); che g iusta l'art. 31 cpv. 1 LCPubb, le offerte sono aperte in seduta pubblica conformemente all'avviso di gara; il committente tiene un verbale nel quale vengono indicati i nomi degli offerenti, gli importi delle offerte e le eventuali osservazioni concernenti i documenti e le irregolarità già manifestatesi al momento dell'apertura (art. 31 cpv. 2 LCPubb); che riallacciandosi al tenore di quest'ultima disposizione, l'art. 45 cpv. 2 RLCPubb/CIAP ribadisce puntualmente gli stessi concetti; l'apertura delle offerte, il loro esame preliminare e la stesura del relativo verbale costituiscono delle formalità essenziali di procedura, volte ad affermare la corretta attuazione del principio della trasparenza che informa l'aggiudicazione di ogni genere di com-messa pubblica (vedi art. 1 lett. a LCPubb); che con l'apertura delle offerte e l'iscrizione a verbale dei relativi importi si rende noto innanzi tutto il nominativo di chi ha concorso e si conferma la ricezione delle offerte inoltrate; si attesta inoltre che l'importo offerto corrisponde a quello effettivamente proposto e che l'offerta contiene tutti i documenti richiesti, scongiurando manipolazioni o negoziazioni ex post ( Vincent Carron/ Jacques Fournier , La protection juridique dans la passation des marchés publics, Fribourg 2002, p. 7 segg.); che, i n sostanza, il verbale di apertura delle offerte certifica quanto avviene durante tale operazione, contraddistinta dall'apertura vera e propria delle buste contenenti le offerte, dalla lettura degli importi proposti e da una prima verifica sommaria degli atti pervenuti; il documento ha valore probatorio e garantisce il rispetto del principio della trasparenza, il quale a sua volta assicura ai concorrenti un'adeguata protezione giuridica ( Martin Beyeler, Ziele und Instrumente des Vergaberechts, Zurigo - Basilea - Ginevra 2008, n. 23 segg.; Carron/Fournier , op. cit., pag. 7; RtiD II- 2011 n. 20; STA 52.2012.48 del 30 marzo 2012); che per prassi le buste contenenti un'offerta vanno contrassegnate con una dicitura, il cui contenuto viene stabilito di volta in volta dal committente a dipendenza della commessa posta a concorso e indicato partitamente nelle prescrizioni di gara; che scopo del contrassegno non è soltanto quello di identificare un'offerta come tale ed evitare che venga scambiata per corrispondenza ordinaria e aperta per errore al di fuori della seduta pubblica all'uopo prevista dalla legge (art. 31 cpv. 1 LCPubb) ; nel caso in cui un committente instaura diversi concorsi nello stesso tempo o ha in corso più di una procedura d'appalto il contrassegno permette pure di individuare in modo puntuale a quale iter di aggiudicazione un determinato concorrente intende partecipare (cfr. STA 52.2013.514 del 16 gennaio 2014, pubbl. nella RtiD II-2014 n. 22); che, in concreto, il bando del concorso indetto dal municipio di CO 2 al fine di aggiudicare le opere da idraulico occorrenti al rifacimento delle canalizzazioni e dell'acquedotto comunale indicava chiaramente (vedi cifra 11) che le relative offerte, in busta chiusa e sigillata, con dicitura esterna " Offerta realizzazione canalizzazioni comunali, Lotto 3, Comune di CO 2 - Opere da idraulico ", avrebbero dovuto pervenire alla cancelleria comunale entro le 16.00 dell'8 aprile 2016; che nel termine prestabilito, sono giunte alla stazione appaltante diverse buste contrassegnate, di cui 7 chiaramente riferite alle opere da idraulico che sono state aperte in seduta pubblica l'8 aprile 2016; che due di esse, fra cui quella della CO 1, riportavano per contro una dicitura incompleta (cfr. verbale di apertura delle offerte 8 aprile 2016, agli atti); che l'aggiudicataria ha apposto sulla busta contenente la propria offerta la seguente indicazione: " Offerta realizzazione canalizzazioni comunali, Lotto 3 - Comune di CO 2" , trascurando tuttavia di specificare che concorreva per le opere da idraulico; che l'offerta della CO 1 avrebbe dovuto essere scartata, siccome priva della dicitura così come esatta dal bando; che tale conclusione si giustifica a maggior ragione ove solo si consideri che il committente, per l'esecuzione delle prestazioni di cui al lotto 3, ha instaurato tre concorsi nello stesso tempo con termini e modalità di inoltro delle offerte identici (vedi bandi di concorso, sub "termine e modalità di inoltro delle offerte"; FU __________/__________ pag. __________ segg.); in simili circostanze, lo scopo del contrassegno assume ancor più fondamentale importanza; che la CO 1 ha violato le prescrizioni concorsuali che imponevano di apporre sulla busta l'esatta indicazione della gara alla quale s'intendeva partecipare, nel caso concreto quella per le opere da idraulico; il fatto che a mente delle resistenti sarebbe stato assolutamente chiaro per quale opera la deliberataria concorreva non consente di pervenire a conclusione diversa; che non costituisce eccesso di formalismo dedurre effetti preclusivi dall'inosservanza delle prescrizioni di forma caratterizzanti le modalità di inoltro delle offerte stabilite nella lex specialis del procedimento concorsuale indetto dal municipio di CO 2 per aggiudicare le opere da idraulico necessarie al rifacimento delle canalizzazioni e dell'acquedotto comunale; che, decidendo di mantenere in gara la CO 1, aggiudicandole addirittura la commessa, l'ente banditore ha disatteso infatti non solo il principio di legalità, ma anche i postulati della trasparenza e della parità di trattamento governanti l'assegnazione di tutte le commesse pubbliche (cfr. art. 1 lett. a e c LCPubb); che sulla scorta delle considerazioni che precedono, il gravame va senz'altro accolto, annullando la delibera impugnata; che non avendo la ditta ricorrente, unica concorrente rimasta in gara, chiesto che la commessa le sia aggiudicata, gli atti vanno retrocessi al committente per nuova decisione; che l'emanazione del presente giudizio rende superflua l'evasione della domanda volta a concedere effetto sospensivo all'impugnativa; che la tassa di giustizia è posta a carico del committente e della resistente secondo soccombenza (art. 47 cpv. 1 LPAmm); alla ricorrente, assistita da un legale, sono dovute congrue ripetibili (art. 49 cpv. 1 LPAmm). Per questi motivi, dichiara e pronuncia: 1.   Il ricorso è accolto. 1.1.  Di conseguenza, la decisione 25 maggio 2016 del municipio di CO 2 è annullata; 1.2.  gli atti sono rinviati al committente per nuova decisione. 2.   La tassa di giustizia di fr. 3'000.- è posta a carico del comune di CO 2 e della CO 1 in ragione di 1/2 ciascuno. Alla ricorrente va restituita la somma di fr. 3'000.- versata quale anticipo delle presunte spese processuali. 3.   Il committente e la CO 1 verseranno alla ricorrente fr. 1'500.- ognuno a titolo di ripetibili. 4.   Contro la presente decisione è dato ricorso in materia di diritto pubblico al Tribunale federale a Losanna entro il termine di 30 giorni dalla sua notificazione (art. 82 segg. legge sul Tribunale federale del 17 giugno 2005; LTF; RS 173.110), nei limiti ed alle condizioni enunciate all'art. 83 lett. f LTF. 5.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