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52.2015.2 vom 16. April 2015</w:t>
      </w:r>
    </w:p>
    <w:p>
      <w:r>
        <w:t>TI Tribunale d'appello, 2015-04-16, IT</w:t>
      </w:r>
    </w:p>
    <w:p>
      <w:r>
        <w:rPr>
          <w:b/>
        </w:rPr>
        <w:t xml:space="preserve">Quelle: </w:t>
      </w:r>
      <w:r>
        <w:t>https://mcp.opencaselaw.ch/entscheid/ti_gerichte_52.2015.2</w:t>
      </w:r>
    </w:p>
    <w:p>
      <w:r>
        <w:t>FR: TI_GERICHTE 52.2015.2 du 16 avril 2015</w:t>
      </w:r>
    </w:p>
    <w:p>
      <w:r>
        <w:t>IT: TI_GERICHTE 52.2015.2 del 16 aprile 2015</w:t>
      </w:r>
    </w:p>
    <w:p>
      <w:pPr>
        <w:pStyle w:val="Heading2"/>
      </w:pPr>
      <w:r>
        <w:t>Regeste</w:t>
      </w:r>
    </w:p>
    <w:p>
      <w:r>
        <w:t>Delibera del contratto di assicurazione di previdenza professionale (LPP). Ricorso dichiarato irricevibile per difetto di legittimazione attiva di entrambe le ricorrenti</w:t>
      </w:r>
    </w:p>
    <w:p>
      <w:pPr>
        <w:pStyle w:val="Heading2"/>
      </w:pPr>
      <w:r>
        <w:t>Erwägungen</w:t>
      </w:r>
    </w:p>
    <w:p>
      <w:r>
        <w:rPr>
          <w:b/>
        </w:rPr>
        <w:t>E. 20</w:t>
      </w:r>
    </w:p>
    <w:p>
      <w:r>
        <w:t>febbraio 2001 (LCPubb; RL 7.1.4.1) ed a ogni norma applicabile alla fattispecie . Contrariamente a quanto sembra supporre la committente, la gara rientra certamente, per statuto della stazione appaltante, nonché natura e soprattutto valore (oltre mezzo milione di fr.) della commessa, tra quelle sottoposte al concordato intercantonale sugli appalti pubblici del 25 novembre 1994/15 marzo 2001 (CIAP; RL 7.1.4.1.3). La competenza del Tribunale cantonale amministrativo è quindi data dagli art. 15 cpv. 1 CIAP e 4 cpv. 1 del decreto legislativo concernente l'adesione del Cantone Ticino al concordato intercantonale sugli appalti pubblici del 25 novembre 1994/15 marzo 2001 del 6 febbraio 1996/30 novembre 2004 (DLACIAP; RL 7.1.4.1.4). Il gravame, inoltrato entro 10 giorni dall'intimazione della delibera impugnata, è tempestivo ( art. 15 cpv. 2 CIAP ). Resta da esaminare la legittimazione attiva del la ditta individuale RI 1 e dell'RI 2 , partendo dalla premessa che in assenza di regolamentazione da parte del CIAP la procedura di ricorso è retta dalla legge sulla procedura amministrativa del 24 settembre 2013 (LPAmm; RL 3.3.1.1). 2.  Giusta l'art. 65 cpv. 1 LPAmm ha diritto di ricorrere chi è particolarmente toccato dalla decisione impugnata e ha un interesse degno di protezione all'annullamento o alla modificazione della stessa. La nozione di interesse degno di protezione corrisponde a quella, identica, racchiusa negli art. 48 lett. a della legge federale sulla procedura amministrativa del 20 dicembre 1968 (PA; RS 172.021) e 103 lett. a della legge federale sull'organizzazione giudiziaria del 16 dicembre 1943 (OG; abrogata dall'art. 131 cpv. 1 della legge sul Tribunale federale del 17 giugno 2005; LTF; RS 173.110). Introducendo il requisito dell'interesse degno di protezione il legislatore ha quindi voluto, in primo luogo, escludere l'actio popularis , cosicché difetta della legittimazione ricorsuale chi dal provvedimento impugnato non sia toccato altrimenti che qualsiasi altro singolo cittadino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ideale o morale può essere sufficiente. Affinché il gravame sia ricevibile in ossequio all'art. 65 LPAmm basta pertanto che il ricorrente possa prevalersi di un interesse personale, immediato ed attuale all'annullamento o alla modificazione della decisione contestata e dunque all'ottenimento di un giudizio più favorevole (cfr. RDAT I-2001 n. 27 consid. 2.1. e rinvii; STA 52.2008.420 del 31 agosto 2010). In materia di pubblici acquisti un siffatto interesse può essere riconosciuto unicamente a chi ha partecipato ad un procedimento concorsuale ed in tale veste può quindi aspirare ad essere riammesso in gara (in caso di esclusione, rispettivamente mancata selezione) o a conseguire la commessa (in caso di delibera ad un altro concorrente). Non per nulla questo Tribunale ha sempre preteso che tra offerente e titolare dell'impugnativa vi fosse una perfetta coincidenza d'identità (STA 52.2013.2 del 24 aprile 2013 e 52.2011.600 del 3 aprile 2012, quest'ultima par zialmente pubblicata in RtiD II-2012 n. 23; sul tema cfr. pure E velyne Clerc , L'ouverture des marchés publics: Effectivité et protection juridique, Friborgo 1997, pag. 530 segg.; Etienne Poltier , Droit des marchés publics, Berna 2014, pag. 259 segg.). 3. Il concorso aperto dall'CO 2 ha per oggetto la stipulazione di un contratto di assicurazione di previdenza professionale LPP per il personale dell'ente della durata di cinque anni. Come annotano giustamente committente e deliberataria, questo genere di assicurazione è gestito da istituti di previdenza, i quali devono farsi iscrivere nel registro della previdenza professionale presso l'autorità di vigilanza loro preposta (art. 48 cpv. 1 LPP). Gli istituti di previdenza registrati - precisa l'art. 48 cpv. 2 LPP - devono rivestire la forma della fondazione o essere istituzioni di diritto pubblico dotate di personalità giuridica. Allorquando una fondazione collettiva LPP è legata con una compagnia di assicurazione di diritto privato, di regola è sempre il ramo vita che si occupa delle questioni legate alla previdenza professionale. Nel caso di specie, l'offerta classificatasi al terzo posto del concorso indetto dall'CO 2 emana indubbiamente dalla Fondazione collettiva LPP dell'A__________, persona giuridica iscritta nel registro di commercio del Canton __________ del tutto distinta dalla RI 2 e ancor più dall'RI 1 . Questa circostanza è comprovata dall'intestazione stessa della proposta per la previdenza professionale inoltrata alla stazione appaltante, che peraltro descrive perfettamente il quadro giuridico nel quale operano le varie figure interessate da questo istituto e le relazioni contrattuali che vanno ad instaurarsi in ambito LPP tra la compagnia d'assicurazione vita, la fondazione, il datore di lavoro ed il personale di quest'ultimo (cfr. pag. 2): La fondazione collettiva LPP dell'A__________ (fondazione) ha la forma giuridica di una fondazione il cui scopo è garantire perlomeno l'assicurazione obbligatoria ai sensi della LPP. La fondazione è iscritta nel registro di commercio e nel registro della previdenza professionale ed è soggetta alla vigilanza prevista dalla legge. A__________ è un istituto di assicurazione privato il cui scopo è gestire, in particolare, contratti di assicurazioni sulla vita. La fondazione stipula con __________ le assicurazioni collettive necessarie a garantire le prestazioni previste dal piano previdenziale. La presente proposta di attuazione della previdenza professionale, unitamente al piano previdenziale di cui al successivo punto 1, costituisce la base dei seguenti rapporti contrattuali: tramite il contratto di affiliazione il datore di lavoro aderisce alla fondazione per offrire al proprio personale un servizio di previdenza. Affiliandosi alla fondazione, il datore di lavoro sceglie un piano previdenziale sul quale si basa la costituzione di un rapporto contrattuale tra la fondazione e il personale da assicurare del datore di lavoro. La fondazione stipula un contratto di assicurazione collettiva con __________ per la copertura dei rischi (vecchiaia, decesso, invalidità). Assodato che offerente in concreto è la Fondazione collettiva LPP dell'A__________, non è dato di vedere come si possa riconoscere all'RI 1 di __________ e all'RI 2 di __________ la qualità per impugnare la delibera intervenuta a favore di un'altra concorrente. La prima è una ditta individuale che ha agito in veste di mero intermediario assicurativo (senza neppure comprovare l'estensione delle facoltà stipulatorie di cui fruisce nel ramo previdenziale dipendente da quello vita), limitandosi ad inoltrare la proposta della Fondazione collettiva LPP dell'__________ in allegato ad una lettera sottoscritta da due persone (__________e __________) di cui solo una dispone di un potere di firma iscritto a RC. La seconda, nella sua forma attuale, è una società anonima nata nel 2002 dalla fusione di El__________a, B__________ e __________, attiva soprattutto quale assicurazione contro i danni (vedi autorizzazione FINMA), che dal profilo giuridico - al pari dell'RI 1 - non ha nulla a che vedere con la Fondazione collettiva LPP dell'__________, alla quale ha tuttavia fornito indebitamente tutte le dichiarazioni annesse all'offerta dell'istituto di previdenza, comprese quelle previste dall'art. 39 cpv. 1 del regolamento di applicazione della legge sulle commesse pubbliche e del concordato intercantonale sugli appalti pubblici del 12 settembre 2006 (RLCPubb/CIAP; RL 7.1.4.1.6) . A prescindere dalla validità dell'offerta, affetta dalle carenze appena evidenziate, resta il fatto che solo la Fondazione collettiva LPP dell'__________, tutt'al più rappresentata dall'RI 1 avrebbe potuto validamente impugnare la delibera. Del resto, se l'A__________ fosse giunta prima in graduatoria, la commessa se la sarebbe aggiudicata la Fondazione, non la ditta individuale che fa capo all'agente generale __________ e che come tale non fornisce alcuna garanzia o prestazione di natura previdenziale. 4.  Sulla scorta di quanto precede il gravame deve essere dichiarato irricevibile per difetto di legittimazione attiva di entrambe le ricorrenti. La tassa di giudizio è posta a carico delle insorgenti secondo soccombenza (art. 47 cpv. 1 LPAmm). Alla deliberataria e alla com-mittente, entrambe assistite da un legale, sono dovute congrue ripetibili (art. 49 cpv.1 LPAmm). Per questi motivi, dichiara e pronuncia: 1.  Il ricorso è irricevibile. 2.  La tassa di giustizia di fr. 4'000.-, già anticipata dalle ricorrenti, resta interamente a loro carico. 3.  Ogni ricorrente verserà sia alla committente che alla deliberataria fr. 1'000.- a titolo di ripetibili. 4 .  Contro la presente decisione è dato ricorso in materia di diritto pubblico al Tribunale federale a Losanna entro il termine di 30 giorni dalla sua notificazione (art. 82 segg. LTF), nei limiti ed alle condizioni enunciate all'art. 83 lett. f LTF. 5.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