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52.2012.358 vom 26. Oktober 2012</w:t>
      </w:r>
    </w:p>
    <w:p>
      <w:r>
        <w:t>TI Tribunale d'appello, 2012-10-26, IT</w:t>
      </w:r>
    </w:p>
    <w:p>
      <w:r>
        <w:rPr>
          <w:b/>
        </w:rPr>
        <w:t xml:space="preserve">Quelle: </w:t>
      </w:r>
      <w:r>
        <w:t>https://mcp.opencaselaw.ch/entscheid/ti_gerichte_52.2012.358</w:t>
      </w:r>
    </w:p>
    <w:p>
      <w:r>
        <w:t>FR: TI_GERICHTE 52.2012.358 du 26 octobre 2012</w:t>
      </w:r>
    </w:p>
    <w:p>
      <w:r>
        <w:t>IT: TI_GERICHTE 52.2012.358 del 26 ottobre 2012</w:t>
      </w:r>
    </w:p>
    <w:p>
      <w:pPr>
        <w:pStyle w:val="Heading2"/>
      </w:pPr>
      <w:r>
        <w:t>Regeste</w:t>
      </w:r>
    </w:p>
    <w:p>
      <w:r>
        <w:t>Revoca della licenza di condurre per 12 mesi ex art. 16c cpv. 2 lett. c LCStr confermata. I 5 anni di cui all'art. 16c cpv. 2 lett. c LCStr decorrono dalla scadenza della revoca precedente, segnatamente dal giorno in cui il conducente torna in possesso della sua patente</w:t>
      </w:r>
    </w:p>
    <w:p>
      <w:pPr>
        <w:pStyle w:val="Heading2"/>
      </w:pPr>
      <w:r>
        <w:t>Erwägungen</w:t>
      </w:r>
    </w:p>
    <w:p>
      <w:r>
        <w:rPr>
          <w:b/>
        </w:rPr>
        <w:t>E. 1</w:t>
      </w:r>
    </w:p>
    <w:p>
      <w:r>
        <w:t>La competenza del Tribunale cantonale amministrativo è data dall'art. 10 cpv. 2 della legge di applicazione alla legislazione federale sulla circolazione stradale e la tassa sul traffico pesante del 24 settembre 1985 (LALCStr; RL 7.4.2.1). La legittimazione attiva del ricorrente, destinatario del provvedimento impugnato, è certa (art. 43 legge di procedura per le cause amministrative del 19 aprile 1966; LPamm; RL 3.3.1.1). Il ricorso, tempestivo (art. 10 cpv. 3 LALCStr e 46 cpv. 1 LPamm), è pertanto ricevibile in ordine e non ponendo questioni di principio né di rilevante importanza ai sensi dell'art. 49 cpv. 2 della legge sull'organizzazione giudiziaria del 10 maggio 2006 (LOG; RL 3.1.1.1) può essere evaso da un giudice unico sulla base degli atti, senza procedere ad accertamenti istruttori (art. 18 cpv. 1 LPamm). 2.   Posto che RI 1, a giusto titolo, non contesta i fatti né la loro qualifica giuridica, ai fini del presente giudizio occorre soltanto chiedersi se la durata della controversa revoca è conforme ai principi fissati agli art. 16 e 16 c LCStr. 3.   3.1. Le infrazioni delle prescrizioni sulla circolazione stradale per le quali non è applicabile la procedura prevista dalla legge sulle multe disciplinari del 24 giugno 1970 (LMD; RS 741.03)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a fare uso del veicolo. La durata minima della revoca non può tuttavia essere ridotta (vedi art. 16 cpv. 3 LCStr). Il nuovo diritto prevede una durata minima della revoca a dipendenza dell'importanza dell'infrazione commessa (lieve, art. 16 a ; medio grave, art. 16 b ; grave, art. 16 c ) e dei precedenti dell'interessato. In particolare, commette un'infrazione grave colui che violando gravemente le norme della circolazione cagiona un serio pericolo per la sicurezza altrui o assume il rischio di detto pericolo (art. 16 c cpv. 1 lett. a LCStr). In tal caso, la licenza di condurre deve essere revocata per almeno dodici mesi se nei cinque anni precedenti la licenza è stata revocata una volta per una infrazione grave o due volte a causa di infrazioni medio gravi (art. 16 c cpv. 2 lett. c LCStr). I cinque anni di cui all'art. 16 c cpv. 2 lett. c LCStr decorrono notoriamente dalla scadenza della revoca precedente, segnatamente dal giorno in cui il conducente torna in possesso della sua patente. Lo si desume con assoluta certezza dal tenore del vecchio art. 17 cpv. 1 lett. c e d LCStr e dalle conferme in tal senso provenienti in modo unanime dalla miglior dottrina ( C é dric Mizel, Retrait administratif du permis de conduire: le nouveau concept de récidive et la pratique des “cascades”, in RPS 2008 pag. 330 e note di coda n. 65 e 67) e dalla giurisprudenza federale (STF 1C_347/2007 del 22 ottobre 2007, consid. 2). 3.2. La giurisprudenza resa dal Tribunale federale sulla scorta del vecchio diritto aveva sancito che indipendentemente dalle circostanze concrete un eccesso di velocità di 26-29 km/h fuori delle località o su una semiautostrada senza spartitraffico era una violazione di media gravità da punire con una revoca della licenza di condurre giusta l'art. 16 cpv. 2 vLCStr. Un superamento del limite di 30 km/h era invece reputato un'infrazione grave, al punto da comportare una revoca obbligatoria della patente in base all'art. 16 cpv. 3 lett. a (cfr. DTF 124 II 259 consid. 2b/bb; 124 II 475 consid. 2a e rinvii). Il nuovo diritto ha introdotto un sistema a cascata dei provvedimenti amministrativi, ha inasprito la durata delle revoche soprattutto per i recidivi e suddiviso rigorosamente le infrazioni per categorie di gravità, ma nulla ha mutato circa i valori limite per la catalogazione degli eccessi di velocità di ampiezza superiore ai 16 km/h stabiliti dal Tribunale federale (vedi DTF 132 II 234 consid. 3). Oggi come allora, il superamento del limite di velocità di 26-29 km/h fuori delle località è nella migliore delle ipotesi un'infrazione di media gravità, che con il nuovo diritto deve essere necessariamente sanzionata con una revoca della patente di almeno un mese (art. 16 b cpv. 2 lett. a LCStr). A partire da un eccesso di 30 km/h oltre il limite, l'inosservanza assurge per contro a reato grave da punire con una revoca di almeno tre mesi (art. 16 c cpv. 2 lett. a LCStr) anche se viene commesso in circostanze favorevoli. 3.3. Dagli atti risulta che nel 2006 RI 1 ha commesso un grave eccesso di velocità per il quale il 28 settembre 2006 gli è stata revocata la licenza di condurre durante tre mesi in forza dell'art. 16 c cpv. 2 lett. a LCStr. La misura è stata scontata dal 15 ottobre 2006 al 14 gennaio 2007. Il 17 novembre 2011 il ricorrente ha superato di ben 32 km/h (già dedotto il margine di tolleranza) la velocità massima di 80 km/h vigente all'interno del tunnel __________. Egli ha dunque gravemente compromesso la sicurezza della circolazione ai sensi della citata giurisprudenza e degli art. 16 c cpv. 1 lett. a e 90 cifra 2 LCStr. Il fatto di essere incorso in un'infrazione grave a distanza di meno di 5 anni dalla scadenza di una pregressa misura amministrativa inflittagli per un reato di pari importanza fa sì che gli debbano essere applicate le norme relative alla durata minima della revoca in caso di reiterazione (sistema a cascata) introdotte nella LCStr a contare dal 1° gennaio 2005. Se ne deve concludere che il provvedimento di revoca di 12 mesi tutelato dal Consiglio di Stato non può che essere ulteriormente confermato da questo Tribunale. Una misura di tale ampiezza appare infatti conforme al diritto e rispettosa del principio della proporzionalità, tant'è vero che corrisponde al minimo previsto dalla legge per la recidiva ed il genere di violazione di cui il ricorrente si è macchiato (vedi art. 16 c cpv. 2 lett. c LCStr). Minimo, sia detto per completezza, sotto il quale non si potrebbe scendere neppure al cospetto di contingenze particolari, tale essendo la scelta chiaramente operata sul tema dal legislatore federale (vedi art. 16 cpv. 3 in fine LCStr; DTF 132 II 234 consid. 2.3). 4.   Stante quanto precede, il ricorso deve essere respinto. La tassa di giustizia e le spese seguono la soccombenza dell'insorgente (art. 28 LPamm). Per questi motivi, dichiara e pronuncia: 1.   Il ricorso è respinto. 2.   La tassa di giustizia di fr. 1'200.- è posta a carico del ricorrente. 3.   Contro la presente decisione è dato ricorso in materia di diritto pubblico al Tribunale federale a Losanna entro il termine di 30 giorni dalla sua notificazione (art. 82 segg. legge sul Tribunale federale del 17 giugno 2005; LTF; RS 173.110). 4.   Intimazione a: Il giudice delegato                                                  La segretaria del Tribunale cantonale amministrativo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