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52.2011.581 vom 10. August 2012</w:t>
      </w:r>
    </w:p>
    <w:p>
      <w:r>
        <w:t>TI Tribunale d'appello, 2012-08-10, IT</w:t>
      </w:r>
    </w:p>
    <w:p>
      <w:r>
        <w:rPr>
          <w:b/>
        </w:rPr>
        <w:t xml:space="preserve">Quelle: </w:t>
      </w:r>
      <w:r>
        <w:t>https://mcp.opencaselaw.ch/entscheid/ti_gerichte_52.2011.581</w:t>
      </w:r>
    </w:p>
    <w:p>
      <w:r>
        <w:t>FR: TI_GERICHTE 52.2011.581 du 10 août 2012</w:t>
      </w:r>
    </w:p>
    <w:p>
      <w:r>
        <w:t>IT: TI_GERICHTE 52.2011.581 del 10 agosto 2012</w:t>
      </w:r>
    </w:p>
    <w:p>
      <w:pPr>
        <w:pStyle w:val="Heading2"/>
      </w:pPr>
      <w:r>
        <w:t>Regeste</w:t>
      </w:r>
    </w:p>
    <w:p>
      <w:r>
        <w:t>Licenza per loculi cinerari</w:t>
      </w:r>
    </w:p>
    <w:p>
      <w:pPr>
        <w:pStyle w:val="Heading2"/>
      </w:pPr>
      <w:r>
        <w:t>Erwägungen</w:t>
      </w:r>
    </w:p>
    <w:p>
      <w:r>
        <w:rPr>
          <w:b/>
        </w:rPr>
        <w:t>E. 20</w:t>
      </w:r>
    </w:p>
    <w:p>
      <w:r>
        <w:t>cpv. 2 LBC). Per quelli d'interesse cantonale, la decisione compete invece al Consiglio di Stato in sede d'approvazione del piano regolatore (art. 20 cpv. 3 LBC). Gli effetti della protezione non sono compiutamente definiti dalla legge, che si limita ad obbligare il proprietario di un bene culturale protetto a conservarlo nella sua sostanza, provvedendo alla sua manutenzione regolare (art. 23 LBC). Spetta, di principio, alle norme di attuazione dei piani regolatori (NAPR) definire i contenuti della protezione in base alla scheda d'inventario, indicando nel contempo i criteri d'intervento sui beni culturali protetti ed all'interno dei perimetri di rispetto (art. 16 cpv. 2 RBC). Una protezione di carattere generale può semmai essere indirettamente dedotta dall'art. 22 cpv. 2 LBC , che, laddove sono definiti perimetri di rispetto, vieta gli interventi suscettibili di compromettere la conservazione o la valorizzazione del bene protetto. Se tali interventi sono vietati nei perimetri di rispetto, si può in effetti ammettere che anche sul bene stesso sia vietato qualsiasi intervento atto a menomarne il valore intrinseco (STA 52.2006.343 del 10 gennaio 2007 consid. 2.1., pubblicata in RtiD II-2007 n. 19). 2.2. In base all'art. 24 cpv. 1 LBC, qualunque intervento suscettibile di modificare l'aspetto o la sostanza di un bene protetto di interesse cantonale, può essere eseguito solo con l'autorizzazione ed in conformità alle indicazioni del Consiglio di Stato. Prima di elaborare un progetto dettagliato di intervento, prosegue la norma (cpv. 2), il proprietario è tenuto a consultare la Commissione dei beni culturali. Con l'art. 19 cpv. 3 RBC tale competenza è stata delegata all'Ufficio dei beni culturali (UBC), il quale, previo avviso della Commissione dei beni culturali (CBC), decide sull'autorizzazione di intervento. Nel caso di interventi su beni immobili, il rilascio dell'autorizzazione speciale per interventi su beni culturali protetti va coordinato con la licenza edilizia secondo la legge sul coordinamento delle procedure, del 10 ottobre 2005 (LCoord; RL 7.1.2.3), in vigore dal 1° gennaio 2007 (STA 52.2006.343 del 10 gennaio 2007 consid. 2.2.). Il consenso dell'UBC non è prescritto soltanto per interventi da attuare direttamente sul bene protetto, ma anche per gli interventi previsti all'interno del perimetro di rispetto definito attorno al bene in base all'art.</w:t>
      </w:r>
    </w:p>
    <w:p>
      <w:r>
        <w:rPr>
          <w:b/>
        </w:rPr>
        <w:t>E. 22</w:t>
      </w:r>
    </w:p>
    <w:p>
      <w:r>
        <w:t>cpv. 2 LBC allo scopo di assicurarne la conservazione o di promuoverne la valorizzazione (STA 52.2008.62 del 25 febbraio 2009 consid. 4.1.). 2.3. L'art. 25 n. 2 NAPR di Lamone classifica i beni culturali in due categorie: quelli di interesse cantonale (lett. a), tra i quali figura la Chiesa parrocchiale __________ (mapp. __________5), e quelli di interesse locale (lett. b). Al riguardo, la norma stabilisce che sono proibiti tutti quegli interventi che potrebbero modificare o compromettere il loro valore o significato (storico, artistico, architettonico o come valore testimonianza), nonché tutti quelli che potrebbero ostacolare la vista oppure deturpanti per l'ambiente circostante. La norma riserva altresì i disposti della LBC. Dal canto suo, l'art.</w:t>
      </w:r>
    </w:p>
    <w:p>
      <w:r>
        <w:rPr>
          <w:b/>
        </w:rPr>
        <w:t>E. 25</w:t>
      </w:r>
    </w:p>
    <w:p>
      <w:r>
        <w:t>n. 3 NAPR istituisce, a protezione della chiesa parrocchiale, un perimetro di rispetto ai sensi dell'art. 22 cpv. 2 LBC. Precisa inoltre che il proprietario di un bene ha l'obbligo di conservarlo nella sua sostanza e di provvedere alla sua manutenzione regolare e che entro il perimetro di rispetto non sono ammissibili interventi suscettibili di compromettere la conservazione o la valorizzazione del bene, dichiarando per il resto applicabili i disposti della LBC. 2.4. L'intervento previsto non concerne direttamente il bene protetto (Chiesa __________). Interessa invece il perimetro di rispetto istituito a protezione di questo bene di interesse cantonale. Dal profilo procedurale, non fa differenza. Permane l'obbligo di consultare preliminarmente la CBC (art. 24 cpv. 2 LBC), come anche la necessità che l'UBC, previo avviso della CBC, rilasci un'autorizzazione speciale (art. 19 cpv. 3 RBC). Ora, in concreto non risulta né che il municipio abbia preliminarmente consultato la CBC, né che nell'ambito della procedura edilizia abbia presentato all'UBC una domanda di rilascio dell'autorizza-zione a realizzare i controversi loculi (cfr. formulario di trasmissione atti domanda di costruzione, punto 2.2.). Dal canto suo, l'UBC, come rilevato dal ricorrente, anziché rilasciare un'autori-zzazione specifica come prescrivono gli art. 24 cpv. 1 LBC e 19 cpv. 3 RBC, si è limitato a comunicare che non vi sono gli estremi per un preavviso negativo , senza peraltro sentire il parere della CBC. Alla prima disattenzione formale (assenza di una decisione di autorizzazione), attenuata dal fatto che le deduzioni dell'UBC sono comunque consegnate nell'avviso dei Servizi generali del Dipartimento del territorio, se ne è quindi aggiunta una seconda (mancanza del parere della CBC). Contrariamente a quanto sostiene il Governo, l'UBC non poteva prescindere dall'avviso della CBC, in quanto si tratta di un intervento che non riguarda in modo diretto un bene culturale tutelato . Nel caso di un bene protetto di interesse cantonale, il coinvolgimento preliminare, rispettivamente il parere, della CBC sono infatti obbligatori (cfr. Messaggio n. 4387 del 14 marzo 1995 concernente il disegno di legge sulla protezione dei beni culturali, pubblicato in: Raccolta dei verbali del Gran Consiglio, sessione ordinaria primaverile 1997, vol. I.2, pag. 1038; cfr. pure Patrizia Cattaneo Beretta , La legge cantonale sulla protezione dei beni culturali, in: RDAT I-2000, pag. 139 segg., n. 4.3.2.2., pag. 153 ), essendo irrilevante che l'intervengo concerna il bene tutelato stesso o il suo perimetro di rispetto. Pure ininfluente è, d'altro canto, la circostanza che la CBC abbia soltanto un ruolo consultivo (cfr. giudizio impugnato, pag. 4 consid. 3) . Il fatto che il suo avviso non sia vincolante, ciò che non significa ancora che l'UBC possa distanziarsene in assenza di fondati motivi, non implica che si possa semplicemente prescindere dallo stesso. 2.5. Il giudizio governativo impugnato va dunque annullato. Facendo difetto un'autorizzazione formale emanata dopo aver sentito la CBC, non mette conto di approfondire le ulteriori censure ricorsuali. Gli atti vengono rinviati al Governo affinché, dopo aver raccolto gli atti mancanti e dato alle parti la facoltà di esprimersi in merito, si pronunci di nuovo. 3.   3.1. Sulla scorta delle considerazioni che precedono, il ricorso va parzialmente accolto. 3.2. Dato l'esito, non si preleva alcuna tassa di giustizia. Nella fattispecie, non si giustifica neppure l'assegnazione di ripetibili. Per prassi costante, una parte non patrocinata non ha in linea di principio diritto alla rifusione di ripetibili, ovvero di onorari e spese (cfr. Marcel Maillard, in: Bernhard Waldmann/Philippe Weissenberger [curatori], Praxiskommentar zum Bundesgesetz über das Verwaltungsverfahren, Zurigo 2009, n. 34 ad art. 64 con rinvii; cfr. inoltre Marco Borghi/Guido Corti , Compendio di procedura amministrativa ticinese, Lugano 1997, n. 3 ad art. 31). Questo principio ritorna applicabile anche all'avvocato che agisce in causa propria (STA 52.2010.36 del 25 agosto 2010 consid. 6, 52.2010.54 del 4 novembre 2010 consid. 8.2; Hansjörg Seiler, in: Hansjörg Seiler/ Nicolas von Werdt/ Andreas Güngerich, Handkommentar zum Bundesgerichtsgesetz, Berna 2007, n. 16 ad art. 68 e giurisprudenza ivi citata; Maillard , op. cit., n. 36 ad art. 64) e questo sia che l'avvocato agisca personalmente sia che si faccia patrocinare dallo studio legale di cui è titolare, come si avvera in concreto (STA 90.2011.15 del 7 febbraio 2012). Per questi motivi, dichiara e pronuncia: 1.   Il ricorso è parzialmente accolto. §.  Di conseguenza: 1.1.   la decisione 23 novembre 2011 del Consiglio di Stato (n. 6471) è annullata. 1.2.   gli atti sono retrocessi al Consiglio di Stato affinché proceda conformemente a quanto indicato al consid. 2.5. 2.   Non si preleva alcuna tassa di giustizia.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