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52.2011.553 vom 2. Januar 2012</w:t>
      </w:r>
    </w:p>
    <w:p>
      <w:r>
        <w:t>TI Tribunale d'appello, 2012-01-02, IT</w:t>
      </w:r>
    </w:p>
    <w:p>
      <w:r>
        <w:rPr>
          <w:b/>
        </w:rPr>
        <w:t xml:space="preserve">Quelle: </w:t>
      </w:r>
      <w:r>
        <w:t>https://mcp.opencaselaw.ch/entscheid/ti_gerichte_52.2011.553</w:t>
      </w:r>
    </w:p>
    <w:p>
      <w:r>
        <w:t>FR: TI_GERICHTE 52.2011.553 du 2 janvier 2012</w:t>
      </w:r>
    </w:p>
    <w:p>
      <w:r>
        <w:t>IT: TI_GERICHTE 52.2011.553 del 2 gennaio 2012</w:t>
      </w:r>
    </w:p>
    <w:p>
      <w:pPr>
        <w:pStyle w:val="Heading2"/>
      </w:pPr>
      <w:r>
        <w:t>Regeste</w:t>
      </w:r>
    </w:p>
    <w:p>
      <w:r>
        <w:t>Revoca della licenza di condurre per 3 mesi confermata a carico di un conducente che commette un'infrazione grave (eccesso di velocità di + 33 km/h su una strada cantonale ove vige un limite di 80 km/h). Diritto di essere giudicato in un termine ragionevole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Stante quanto precede, il ricorso deve pertanto essere respinto, atteso che per finire il Tribunale - vincolato alle domande formulate dall'insorgente (vedi petitum) - non ne può accogliere alcuna. La tassa di giustizia e le spese seguono la soccombenza dell'insorgente (art. 28 LPamm). Per questi motivi, dichiara e pronuncia: 1.   Il ricorso è respinto. 2.   La tassa di giustizia di fr. 1.200.- è posta a carico del ricorrente. 3.   Contro la presente decisione è dato ricorso in materia di diritto pubblico al Tribunale federale a Losanna entro il termine di 30 giorni dalla sua notificazione (art. 82 segg. legge sul Tribunale federale del 17 giugno 2005; LTF; RS 173.110). 4.   Intimazione a: Il giudice delegato                                                  La segretaria 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