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52.2011.338 vom 4. August 2011</w:t>
      </w:r>
    </w:p>
    <w:p>
      <w:r>
        <w:t>TI Tribunale d'appello, 2011-08-04, IT</w:t>
      </w:r>
    </w:p>
    <w:p>
      <w:r>
        <w:rPr>
          <w:b/>
        </w:rPr>
        <w:t xml:space="preserve">Quelle: </w:t>
      </w:r>
      <w:r>
        <w:t>https://mcp.opencaselaw.ch/entscheid/ti_gerichte_52.2011.338</w:t>
      </w:r>
    </w:p>
    <w:p>
      <w:r>
        <w:t>FR: TI_GERICHTE 52.2011.338 du 4 août 2011</w:t>
      </w:r>
    </w:p>
    <w:p>
      <w:r>
        <w:t>IT: TI_GERICHTE 52.2011.338 del 4 agosto 2011</w:t>
      </w:r>
    </w:p>
    <w:p>
      <w:pPr>
        <w:pStyle w:val="Heading2"/>
      </w:pPr>
      <w:r>
        <w:t>Regeste</w:t>
      </w:r>
    </w:p>
    <w:p>
      <w:r>
        <w:t>Legittimazione a ricorrere contro un divieto d'accessopronunciato dal gerente di un esercizio pubblico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cpv. 5 e 12 del regolamento sulla tariffa per i casi di patrocinio d'ufficio e di assistenza giudiziaria e per la fissazione delle ripetibili, del 19 dicembre 2007; RLAG; RL 3.1.1.7.1); che la RI 1, il cui ricorso è stato a ragione dichiarato irricevibile, era soccombente davanti al Governo; che, in concreto, CO 1 si è fatta assistere da un patrocinatore nell'ambito del procedimento davanti al Consiglio di Stato, il cui oggetto era - alla fin fine - la bontà di un provvedimento atto a limitarne la libertà di movimento; che l'importo per ripetibili allocato dal Governo corrisponde a meno di due ore di lavoro di un avvocato; esso non è dunque eccessivo; che pertanto il ricorso dev'essere disatteso anche su questo punto; che la ricorrente, soccombente nella presente procedura, dev'essere condannata al pagamento della tassa di giustizia e delle spese (art. 28 LPamm); che la mancata intimazione del ricorso alle parti, che dunque non hanno inoltrato risposta, permette a questo giudice di non dover assegnare a sua volta delle ripetibili (art. 31 LPamm). Per questi motivi, dichiara e pronuncia: 1.   Il ricorso è respinto . 2.   La tassa di giustizia e le spese, di fr. 400.-, sono poste a carico della ricorrente. 3.   Contro la presente decisione è dato ricorso in materia di diritto pubblico al Tribunale federale a Losanna entro il termine di 30 giorni dalla sua notificazione ( art. 82 segg. LTF ). 4.   Intimazione a: 5. Comunicazione a: Il giudice delegato del Tribunale cantonale amministrativo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