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52.2011.223 vom 28. Juli 2011</w:t>
      </w:r>
    </w:p>
    <w:p>
      <w:r>
        <w:t>TI Tribunale d'appello, 2011-07-28, IT</w:t>
      </w:r>
    </w:p>
    <w:p>
      <w:r>
        <w:rPr>
          <w:b/>
        </w:rPr>
        <w:t xml:space="preserve">Quelle: </w:t>
      </w:r>
      <w:r>
        <w:t>https://mcp.opencaselaw.ch/entscheid/ti_gerichte_52.2011.223</w:t>
      </w:r>
    </w:p>
    <w:p>
      <w:r>
        <w:t>FR: TI_GERICHTE 52.2011.223 du 28 juillet 2011</w:t>
      </w:r>
    </w:p>
    <w:p>
      <w:r>
        <w:t>IT: TI_GERICHTE 52.2011.223 del 28 luglio 2011</w:t>
      </w:r>
    </w:p>
    <w:p>
      <w:pPr>
        <w:pStyle w:val="Heading2"/>
      </w:pPr>
      <w:r>
        <w:t>Regeste</w:t>
      </w:r>
    </w:p>
    <w:p>
      <w:r>
        <w:t>Annullamento della licenza di condurre in prova in forza dell'art. 15a cpv. 4 LCStr. Bastano due infrazioni anche lievi comportanti la revoca commesse durante il periodo di prova per adottare tale misura</w:t>
      </w:r>
    </w:p>
    <w:p>
      <w:pPr>
        <w:pStyle w:val="Heading2"/>
      </w:pPr>
      <w:r>
        <w:t>Erwägungen</w:t>
      </w:r>
    </w:p>
    <w:p>
      <w:r>
        <w:rPr>
          <w:b/>
        </w:rPr>
        <w:t>E. 16</w:t>
      </w:r>
    </w:p>
    <w:p>
      <w:r>
        <w:t>d LCStr - ovvero quelle che indipendentemente dalla commissione di un reato mirano ad escludere dalla circolazione i conducenti che per motivi medici e psichici, per dipendenza da alcol o da altre sostanze o per motivi caratteriali non sono in grado di guidare con sicurezza un veicolo a motore - non contano invece ai fini dell'annullamento di una licenza in prova ( André Demierre/Cédric Mizel/Luc Mouron, op. cit., pag. 733 ). 3 .2. Durante il periodo di prova RI 1 si è reso autore di due infrazioni gravissime. Il 20 dicembre 2009 ha guidato in stato di ebrietà qualificata e sotto l'influsso di stupefacenti. Il 26 settembre 2010 ha nuovamente circolato ubriaco fradicio, incorrendo in un incidente. In simili evenienze vi erano tutte le premesse per annullargli la licenza di condurre in virtù degli art. 15 a cpv. 4 LCStr e 35 a OAC. Il fatto che a suo tempo il perito __________ abbia operato valutazioni positive sulla sua persona e che egli possa vantare un bisogno professionale di condurre non hanno rilevanza alcuna. Bastano infatti due infrazioni anche lievi comportanti la revoca commesse durante il periodo di prova per adottare la predetta misura (cfr. DTF 136 I 345 e 136 II 447) a prescindere dalla sussistenza di eventuali circostanze favorevoli ai sensi dell'art. 16 cpv. 3 LCStr. 4.   Stante quanto precede, il ricorso deve pertanto essere respinto. La tassa di giustizia e le spese seguono la soccombenza dell'insorgente (art. 28 LPamm). Per questi motivi, dichiara e pronuncia: 1.   Il ricorso è respinto. 2.   La tassa di giustizia di fr. 1'200.- è posta a carico del ricorrente. 3. Contro la presente decisione è dato ricorso in materia di diritto pubblico al Tribunale federale a Losanna entro il termine di 30 giorni dalla sua notificazione (art. 82 segg. legge sul Tribunale federale del 17 giugno 2005; LTF; RS 173.110). 4.   Intimazione a: . Il giudice delegato del Tribunale cantonale amministrativo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