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52.2011.201 vom 16. Juli 2012</w:t>
      </w:r>
    </w:p>
    <w:p>
      <w:r>
        <w:t>TI Tribunale d'appello, 2012-07-16, IT</w:t>
      </w:r>
    </w:p>
    <w:p>
      <w:r>
        <w:rPr>
          <w:b/>
        </w:rPr>
        <w:t xml:space="preserve">Quelle: </w:t>
      </w:r>
      <w:r>
        <w:t>https://mcp.opencaselaw.ch/entscheid/ti_gerichte_52.2011.201</w:t>
      </w:r>
    </w:p>
    <w:p>
      <w:r>
        <w:t>FR: TI_GERICHTE 52.2011.201 du 16 juillet 2012</w:t>
      </w:r>
    </w:p>
    <w:p>
      <w:r>
        <w:t>IT: TI_GERICHTE 52.2011.201 del 16 luglio 2012</w:t>
      </w:r>
    </w:p>
    <w:p>
      <w:pPr>
        <w:pStyle w:val="Heading2"/>
      </w:pPr>
      <w:r>
        <w:t>Regeste</w:t>
      </w:r>
    </w:p>
    <w:p>
      <w:r>
        <w:t>Licenza edilizia per la costruzione di due pergole</w:t>
      </w:r>
    </w:p>
    <w:p>
      <w:pPr>
        <w:pStyle w:val="Heading2"/>
      </w:pPr>
      <w:r>
        <w:t>Erwägungen</w:t>
      </w:r>
    </w:p>
    <w:p>
      <w:r>
        <w:rPr>
          <w:b/>
        </w:rPr>
        <w:t>E. 39</w:t>
      </w:r>
    </w:p>
    <w:p>
      <w:r>
        <w:t>LE, n. 1210;), è stata disattesa dal Consiglio di Stato. A giusta ragione. Determinante, dal profilo del diritto pianificatorio ed edilizio, non è infatti la nozione di "fabbrica", ma quella di "costruzione", posta a fondamento dell'art. 22 cpv. 1 della legge federale sulla pianificazione del territorio del 22 giugno 1979 (LPT; RS 700). Nozione, quest'ultima, che comprende tutte le installazioni artificiali, durature, legate al terreno in modo relativamente saldo e atte ad influire sulle concezioni inerenti all'ordinamento delle utilizzazioni del suolo, sia che modifichino considerevolmente l'aspetto esterno dei fondi, sia che gravino le opere di urbanizzazione, sia che ingenerino ripercussioni apprezzabili sull'ambiente circostante (cfr. DTF 123 II 256 consid. 3 e rinvii; STF 1C.89/2009 dell'11 giugno 2009 pubblicata in RtiD II-2009 n. 39, consid. 2.2; STA 52.2011.483 del 1. febbraio 2012, consid. 2.2; 52.2009.360 dell'8 luglio 2010 consid. 2.1.; Bernhard Waldmann/Peter Hänni , Handkommentar Raumplanungsgesetz, Berna 2006, ad art. 22 n. 10 e segg.). 2.3. Immune da violazioni del diritto appare quindi la conclusione alla quale è giunto il giudizio impugnato nella misura in cui ha considerato le pergole alla stregua di costruzioni soggette alle norme sulle distanze, sulle altezze e sull'i.o. Le opere in oggetto costituiscono invero installazioni artificiali, durature, saldamente legate al terreno ed atte ad influire sulle concezioni relative all'ordinamento delle utilizzazioni del suolo. Il giudizio non può invece essere condiviso nella misura in cui ritiene senz'altro applicabili i parametri edificatori relativi alle costruzioni accessorie . Se dal profilo della funzione, la natura accessoria delle pergole è in effetti evidente, non altrettanto certo è invece il rispetto delle dimensioni massime prescritte per questo genere di costruzioni. Spetterà al municipio pronunciarsi sulla questione nell'ambito della decisione che è chiamato a rendere. 3.   3.1. Sulla scorta delle considerazioni che precedono, il ricorso va dunque respinto. 3.2. La tassa di giustizia è posta a carico del ricorrente secondo soccombenza (art. 28 LPamm), ritenuto che il comune ne va esente in quanto comparso per esigenze di funzione e non per tutelare suoi interessi patrimoniali. Non vengono assegnate ripetibili, posto che i resistenti non sono assistiti da un patrono iscritto nel registro degli avvocati (art. 31 LPamm). Per questi motivi, dichiara e pronuncia: 1.   Il ricorso è respinto. 2.   La tassa di giustizia di fr. 1'000.- è posta a carico del ricorrente.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