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52.2008.86 vom 30. April 2008</w:t>
      </w:r>
    </w:p>
    <w:p>
      <w:r>
        <w:t>TI Tribunale d'appello, 2008-04-30, IT</w:t>
      </w:r>
    </w:p>
    <w:p>
      <w:r>
        <w:rPr>
          <w:b/>
        </w:rPr>
        <w:t xml:space="preserve">Quelle: </w:t>
      </w:r>
      <w:r>
        <w:t>https://mcp.opencaselaw.ch/entscheid/ti_gerichte_52.2008.86</w:t>
      </w:r>
    </w:p>
    <w:p>
      <w:r>
        <w:t>FR: TI_GERICHTE 52.2008.86 du 30 avril 2008</w:t>
      </w:r>
    </w:p>
    <w:p>
      <w:r>
        <w:t>IT: TI_GERICHTE 52.2008.86 del 30 aprile 2008</w:t>
      </w:r>
    </w:p>
    <w:p>
      <w:pPr>
        <w:pStyle w:val="Heading2"/>
      </w:pPr>
      <w:r>
        <w:t>Regeste</w:t>
      </w:r>
    </w:p>
    <w:p>
      <w:r>
        <w:t>Permesso per confinanti CE/AELS negato per motivi di ordine pubblico</w:t>
      </w:r>
    </w:p>
    <w:p>
      <w:pPr>
        <w:pStyle w:val="Heading2"/>
      </w:pPr>
      <w:r>
        <w:t>Erwägungen</w:t>
      </w:r>
    </w:p>
    <w:p>
      <w:r>
        <w:rPr>
          <w:b/>
        </w:rPr>
        <w:t>E. 16</w:t>
      </w:r>
    </w:p>
    <w:p>
      <w:r>
        <w:t>cpv. 3 ODDS). 3.3. La LDDS e la sua ordinanza di esecuzione (ODDS) sono applicabili soltanto se l'ALC non dispone altrimenti e la normativa interna prevede disposizioni più favorevoli (art. 1 lett. a LDDS). Ritenuto che, con l'entrata in vigore dell'ALC, la riserva dell'ordine pubblico e della sicurezza pubblica prevista all'art. 5 cpv. 1 Allegato I ALC soggiace a criteri meno restrittivi, ne discende che la normativa interna non prevede disposizioni più favorevoli di quelle disposte dall'ALC e che di conseguenza il caso in esame va esaminato sotto il profilo dell'accordo settoriale in parola. 4. 4.1. Come accennato in narrativa, con sentenza 26 aprile 2007 RI 1 è stato condannato dalla Corte delle assise criminali a una pena detentiva di 2 anni e 6 mesi, a valere quale pena aggiuntiva a quella di 2 anni per cui era stato condannato dal Tribunale di __________ il 4 dicembre 2006. Egli è stato ritenuto colpevole di "truffa aggravata siccome commessa per mestiere, per avere, dal gennaio 2004 all'aprile 2006, (...) , a scopo di indebito profitto, agendo in correità con terzi, sotto le ragioni sociali __________, __________ e __________, in 91 occasioni, ingannato e/o tentato di ingannare con astuzia gli organi e/o i collaboratori di diverse ditte fornitrici, inducendoli a compiere atti pregiudizievoli al proprio patrimonio per complessivi ca. fr. 3'966'000.–, di cui circa fr. 1'400'000.– recuperati; falsità in documenti, ripetuta per avere, dal gennaio 2004 all'aprile 2006, (...) , a scopo di indebito profitto, agendo in correità con terzi, nel contesto dell'attività delle ditte __________, __________ e __________, allestito e/o fatto uso a scopo di inganno di 19 falsi assegni bancari, di 1 falso formulario A e di 2 false cambiali. La Corte lo ha inoltre condannato a versare in solido ad altri imputati un importo di oltre € 464'000.– e di fr. 180'700.–, oltre interessi, rinviando per il rimanente le parti civili al foro competente. 4.2. Ora, tali reati, giudicati dalla Corte criminale del Tribunale penale e qualificati come crimini (art. 10 cpv. 2 CP), non vanno sottovalutati in quanto toccano un bene giuridico molto importante per la società. Contrariamente a quanto ritiene l'insorgente, anche i reati in materia patrimoniale o finanziari possono rappresentare una minaccia sufficientemente grave ad un interesse fondamentale della società e legittimare una misura per motivi di ordine pubblico giusta l'art. 5 Allegato I ALC. Non esiste infatti nessuna lista esaustiva dei reati che rientrano nel concetto di violazione dell'ordine pubblico. Le due sentenze prodotte dal ricorrente non permettono di sovvertire tali conclusioni (doc. C e D: sentenze CGCE del 7.6.2007 nella causa C-50/06, rispettivamente, del 26.11.02 nella causa C-100/01). Determinante è l'esistenza di una minaccia effettiva ed abbastanza grave che riguarda un interesse fondamentale della collettività. In questo senso, bisogna considerare che i reati di cui l'insorgente si è macchiato sono molto gravi. Eloquenti sono le considerazioni espresse dalla Corte penale che, dopo aver indicato RI 1 come l'imputato più pesantemente compromesso dal profilo oggettivo, ha evidenziato quanto segue (consid. 28, pagg. 66-68): "Egli ha agito sull'arco di 3 anni (2004-2005-2006) dando prova di intraprendenza e di notevole intensità nell'intento criminale, avendo egli per 3 volte ripetuto i medesimi, complessi preparativi volti all'allestimento della struttura societaria necessaria al compimento dei reati, sino al reperimento dei correi e al finanziamento dei costi operativi. In Svizzera, inoltre, egli è giunto dopo avere commesso analoghi fatti anche in Italia nel corso del 2002-2003 per circa € 3'285'000.–(...), per il che la reiterazione da parte sua dei medesimi illeciti iniziava ad avere carattere di irriducibilità. Egli ha agito senza particolari scrupoli in danno di ignare ditte, senza curarsi in particolare del fatto che piccole aziende avrebbero potuto risultare gravemente compromesse dal danno conseguente alla perpetrazione delle truffe. Il movente del suo agire, come è logico, è stato unicamente quello economico (...). La gravità della sua colpa, in specie per rapporto a quella dei coimputati, è data anche in ragione del suo ruolo sicuramente trainante, il che si deduce già solo dal fatto che è l'unico degli imputati a dovere rispondere delle 3 fattispecie, oltre che a quella italiana pregressa. È inoltre manifesto come, oggettivamente, il cumulo delle fattispecie porti a risultati numerici impressionanti, avendosi truffe per oltre fr. 9 milioni. Al dibattimento RI 1 ha ammesso di avere già subìto una condanna in Italia per gioco d'azzardo, ciò che non risulta dal suo casellario giudiziale ma che invece trova riscontro nella sentenza resa a suo carico dal Tribunale di __________ il 4 dicembre 2006, essendogli stata negata l'attenuante dell'incensuratezza. La Corte non ha comunque aggravato la propria decisione in ragione di siffatto precedente.(...).Dovendosi fissare una pena complessiva a suo carico, comprensiva anche dei reati commessi in Italia, la Corte ne ha ritenuta una di qualche mese superiore ai 5 anni, riducendola a 4 anni e 6 mesi per effetto delle circostanze attenuanti. Su questa pena la Corte ha dovuto computare quella di 2 anni inflittagli a __________ (ancorché non espiata per effetto dell'indulto), dal che la pronuncia di una pena detentiva aggiuntiva di 2 anni e 6 mesi con computo del carcere preventivo sofferto". Sotto quest'ultimo aspetto, la Corte ha soggiunto come nella pena inflittagli l'interessato sia stato avvantaggiato e non sfavorito dal computo (pag. 68): "Vero è infatti che il giudizio per i soli reati dell'atto di accusa gli sarebbe valso una pena non di molto inferiore a quella complessiva erogatagli, e in ogni caso certamente superiore a quella aggiuntiva di 2 anni e 6 mesi, motivo per cui è da ammettere che i 2 anni della sanzione italiana, oltretutto non espiata, hanno alleviato la sua posizione complessiva" . Visto quanto precede si può senz'altro ritenere che il ricorrente, pesantemente condannato, ha violato gravemente l'ordine pubblico. Inoltre, agendo per mestiere ed essendo pure recidivo, non si può escludere che egli persista nel proprio modus vivendi anche in futuro. Ne discende che risultano chiaramente dati gli estremi per l'applicazione dell'art. 5 cpv. 1 Allegato I ALC. 4.3. Il ricorrente contesta l'applicabilità della direttiva 64/221/CEE sull'ordine pubblico, a cui viene fatto riferimento nella decisione impugnata, rilevando come la stessa sia stata abrogata in seguito all'entrata in vigore della nuova direttiva 2004/38/CE del Parlamento europeo e del Consiglio, relativa al diritto dei cittadini dell'Unione e dei loro familiari di circolare e di soggiornare liberamente nel territorio degli Stati membri (doc. B; GU L 229 del 29 giugno 2004, pag. 35). La tesi non può essere condivisa. Giova infatti ricordare che, giusta il chiaro tenore dei combinati art. 16 cpv. 1 ALC e 5 cpv. 2 Allegato I ALC, è la direttiva 64/221/CEE, nella sua versione vigente al momento della firma dell'accordo in questione (21 giugno 1999), che contribuisce a definire l'esatta portata dell'art. 5 cpv. 1 Allegato I ALC, relativo alla limitazione per motivi di ordine pubblico dei diritti istituiti dall'Accordo. L'abrogazione nel diritto comunitario della predetta direttiva non esplica dunque alcun effetto sull' ALC, fintanto che le parti contraenti non decidono di adattare il trattato internazionale che le lega. Pertanto il semplice fatto che la direttiva 64/221/CEE sia stata soppiantata nel corso del 2004 dalla direttiva 2004/38/CE non permette ancora di affermare, come fa il ricorrente, che la stessa possa in qualche modo essere presa in considerazione ai fini dell'applicazione dell'art. 5 cpv. 1 Allegato I ALC. Ma anche se fosse applicabile, quest'ultima direttiva non permetterebbe in ogni caso di giungere a delle conclusioni più favorevoli all'insorgente, in quanto non apporta nulla di nuovo sulle condizioni, sviluppate dalla giurisprudenza della CGCE prima della sua adozione, per ammettere l'esistenza di una minaccia effettiva e abbastanza grave all'ordine pubblico, alla pubblica sicurezza e alla pubblica sanità, tale da giustificare una limitazione del diritto individuale alla libera circolazione (cfr. art. 27 e segg. direttiva 2004/38/CE). 5.   A questo punto occorre verificare la proporzionalità del provvedimento pronunciato dalla Sezione dei permessi e dell'immigrazione. RI 1 risiede a __________. Il rifiuto di rilasciargli un nuovo permesso per esercitare un'attività lucrativa in Svizzera in qualità di frontaliere lo colpisce unicamente sul piano professionale e non gli impone uno spostamento dei suoi interessi all'estero. Egli non ha mai preteso di non poter trovare un nuovo posto di lavoro in Italia, per cui da questo profilo gli effetti sulla sua persona del provvedimento querelato appaiono tutto sommato contenuti. D'altra parte l'insorgente, che ha ampiamente dimostrato la sua incapacità di adattarsi alle leggi del nostro Paese, è il principale responsabile, come rilevato nel precedente considerando (supra 4), del motivo per il quale gli è stata negata l'autorizzazione richiesta. 6.   La Sezione dei permessi e dell'immigrazione non ha pertanto disatteso le disposizioni legali invocate, negando il rilascio di un permesso di lavoro per confinanti al ricorrente. Inoltre la decisione censurata non procede da un esercizio abusivo del potere di apprezzamento che la legge riserva all'autorità di polizia degli stranieri in ordine alla valutazione dell'adeguatezza della misura intrapresa, per cui la medesima dev'essere confermata. 7.   Stante quanto precede, il ricorso, nella misura in cui è ricevibile, va dunque respinto. La tassa di giustizia e le spese seguono la soccombenza (art. 28 PAmm). Per questi motivi, visti l'ALC e l'Allegato I, nonché gli art. 83 lett. c n. 2 LTF; 10 lett. a LALPS; 22 RLALPS-CE/AELS; 3, 18, 28, 31, 43, 46, 60, 61 PAmm; dichiara e pronuncia: 1.   In quanto ricevibile, il ricorso è respinto . 2.   La tassa e le spese di giustizia, per complessivi di fr. 1'000.–, sono poste a carico del ricorrente.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