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52.2008.219 vom 7. Januar 2009</w:t>
      </w:r>
    </w:p>
    <w:p>
      <w:r>
        <w:t>TI Tribunale d'appello, 2009-01-07, IT</w:t>
      </w:r>
    </w:p>
    <w:p>
      <w:r>
        <w:rPr>
          <w:b/>
        </w:rPr>
        <w:t xml:space="preserve">Quelle: </w:t>
      </w:r>
      <w:r>
        <w:t>https://mcp.opencaselaw.ch/entscheid/ti_gerichte_52.2008.219</w:t>
      </w:r>
    </w:p>
    <w:p>
      <w:r>
        <w:t>FR: TI_GERICHTE 52.2008.219 du 7 janvier 2009</w:t>
      </w:r>
    </w:p>
    <w:p>
      <w:r>
        <w:t>IT: TI_GERICHTE 52.2008.219 del 7 gennaio 2009</w:t>
      </w:r>
    </w:p>
    <w:p>
      <w:pPr>
        <w:pStyle w:val="Heading2"/>
      </w:pPr>
      <w:r>
        <w:t>Regeste</w:t>
      </w:r>
    </w:p>
    <w:p>
      <w:r>
        <w:t>Permesso in sanatoria per la posa di una porta garage Ordine di demolizione Alterazione di siti pittoreschi ai sensi del DLBN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Contro la presente decisione è dato ricorso in materia di diritto pubblico al Tribunale federale a Losanna entro il termine di 30 giorni dalla sua notificazione (art. 82 segg. della legge sul Tribunale federale, del 17 giugno 2005; LTF; RS 173.110). Qualora non sia proponibile il ricorso in materia di diritto pubblico, entro il medesimo termine è ammesso il ricorso sussidiario in materia costituzionale al Tribunale federale (art. 113 segg. LTF ). 4.   Intimazione a: ;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