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52.2007.348 vom 23. April 2008</w:t>
      </w:r>
    </w:p>
    <w:p>
      <w:r>
        <w:t>TI Tribunale d'appello, 2008-04-23, IT</w:t>
      </w:r>
    </w:p>
    <w:p>
      <w:r>
        <w:rPr>
          <w:b/>
        </w:rPr>
        <w:t xml:space="preserve">Quelle: </w:t>
      </w:r>
      <w:r>
        <w:t>https://mcp.opencaselaw.ch/entscheid/ti_gerichte_52.2007.348</w:t>
      </w:r>
    </w:p>
    <w:p>
      <w:r>
        <w:t>FR: TI_GERICHTE 52.2007.348 du 23 avril 2008</w:t>
      </w:r>
    </w:p>
    <w:p>
      <w:r>
        <w:t>IT: TI_GERICHTE 52.2007.348 del 23 aprile 2008</w:t>
      </w:r>
    </w:p>
    <w:p>
      <w:pPr>
        <w:pStyle w:val="Heading2"/>
      </w:pPr>
      <w:r>
        <w:t>Regeste</w:t>
      </w:r>
    </w:p>
    <w:p>
      <w:r>
        <w:t>Ordine di allontanamento di un gallo dal pollaio</w:t>
      </w:r>
    </w:p>
    <w:p>
      <w:pPr>
        <w:pStyle w:val="Heading2"/>
      </w:pPr>
      <w:r>
        <w:t>Erwägungen</w:t>
      </w:r>
    </w:p>
    <w:p>
      <w:r>
        <w:rPr>
          <w:b/>
        </w:rPr>
        <w:t>E. 13</w:t>
      </w:r>
    </w:p>
    <w:p>
      <w:r>
        <w:t>OIF. Norma, quest'ultima, che impone di risanare gli impianti che contribuiscono in modo determinante al superamento dei valori limite d’immissione nella maggior misura possibile dal punto di vista tecnico e dell'esercizio e sopportabile sotto il profilo economico (cpv. 2 lett. a), nonché in modo che i VLI non siano superati (cpv. 2 lett. b). 3.   3.1. Il municipio, competente secondo l’art. 5 cpv. 2 lett. b ROIF ad ordinare il risanamento delle installazioni fisse, non rientranti negli allegati dell'OIF, il cui esercizio provoca rumore esterno, ha in concreto ordinato l'allontanamento del turbolento gallo. L'ordine, fondato a torto sulla legislazione cantonale e comunale, disattendendo il principio della forza derogatoria del diritto federale (art. 49 cpv. 1 Cost. fed.), che regola la materia in modo esaustivo (art. 65 LPAmb ), è stato annullato dal Consiglio di Stato, che, in ossequio al principio di proporzionalità, l'ha sostituito con un ordine di " rinchiudere il gallo in un locale chiuso del pollaio dalle 2200 alle 0700 ". 3.2. Anche se tratte da norme inapplicabili, le conclusioni del provvedimento possono, in linea di massima, essere considerate conformi alle disposizioni della legislazione ambientale sopra illustrate. Esse si configurano infatti come prescrizioni di costruzione (art. 12 cpv. 1 lett. b LPAmb ) e d'esercizio (art. 12 cpv. 1 lett. c LPAmb ), che secondo la comune esperienza sono in grado di ridurre le immissioni foniche prodotte dal gallo nella maggior misura possibile dal punto di vista tecnico e dell'esercizio e sopportabile sotto il profilo economico (art. 13 cpv. 2 lett. a OIF), rispettivamente in modo che i VLI, determinati secondo l’art. 40 cpv. 3 OIF, non siano superati (art. 13 cpv. 2 lett. b OIF; cfr. decisione 25 maggio 2007 della Commissione di ricorso in materia edilizia del Canton Zurigo / BRKE in BEZ 2007 n. 36). Il provvedimento sostitutivo, ordinato dal Consiglio di Stato, deve comunque essere perfezionato, in modo da renderlo idoneo a contenere le immissioni derivanti da eventuali, estemporanei canti del gallo quando è detenuto. Le misure di risanamento vanno quindi completate, imponendo anche di eliminare qualsiasi apertura che lasci trapelare la luce e di isolare con lana di vetro (spessa almeno 8 cm) la cella insonorizzata destinata alla detenzione del gallo durante la notte (2200-0700). 4.   Entro questi limiti, il ricorso può essere parzialmente accolto, annullando e riformando di conseguenza il giudizio governativo impugnato. Esito, questo, che rende superfluo l'esame delle censure sollevate dagli insorgenti in relazione all'addebito integrale della tassa di giustizia e delle ripetibili. Date le particolarità del caso, non si preleva tassa di giustizia. Le ripetibili si ritengono compensate. Per questi motivi, visti gli art. 208 LOC; 11, 16 LPAmb ; 7, 8, 13 OIF; 3, 18, 28, 31, 60, 61, 65 PAmm; dichiara e pronuncia: 1.   Il ricorso è parzialmente accolto. §.  Di conseguenza: 1.1. la decisione 19 settembre 2007 (n. 4773) del Consiglio di Stato è annullata e riformata nel senso che: 1.2. la risoluzione 18 luglio 2007 (n. 1124) del municipio di __________ è annullata; 1.3. la licenza edilizia 19 giugno 2006 è subordinata all'ulteriore condizione che il gallo sia rinchiuso ogni notte dalle 2200 alle 0700 in una cella oscura ed insonorizzata secondo le indicazioni dei considerandi. 2.   Non si preleva tassa di giustizia. Non si assegnano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