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52.2006.60 vom 8. April 2006</w:t>
      </w:r>
    </w:p>
    <w:p>
      <w:r>
        <w:t>TI Tribunale d'appello, 2006-04-08, IT</w:t>
      </w:r>
    </w:p>
    <w:p>
      <w:r>
        <w:rPr>
          <w:b/>
        </w:rPr>
        <w:t xml:space="preserve">Quelle: </w:t>
      </w:r>
      <w:r>
        <w:t>https://mcp.opencaselaw.ch/entscheid/ti_gerichte_52.2006.60</w:t>
      </w:r>
    </w:p>
    <w:p>
      <w:r>
        <w:t>FR: TI_GERICHTE 52.2006.60 du 8 avril 2006</w:t>
      </w:r>
    </w:p>
    <w:p>
      <w:r>
        <w:t>IT: TI_GERICHTE 52.2006.60 del 8 aprile 2006</w:t>
      </w:r>
    </w:p>
    <w:p>
      <w:pPr>
        <w:pStyle w:val="Heading2"/>
      </w:pPr>
      <w:r>
        <w:t>Regeste</w:t>
      </w:r>
    </w:p>
    <w:p>
      <w:r>
        <w:t>Offerte per l'aggiudicazione di prestazioni professionali di ingegnere</w:t>
      </w:r>
    </w:p>
    <w:p>
      <w:pPr>
        <w:pStyle w:val="Heading2"/>
      </w:pPr>
      <w:r>
        <w:t>Erwägungen</w:t>
      </w:r>
    </w:p>
    <w:p>
      <w:r>
        <w:rPr>
          <w:b/>
        </w:rPr>
        <w:t>E. 2</w:t>
      </w:r>
    </w:p>
    <w:p>
      <w:r>
        <w:t>. Ha concluso osservando che la produzione di documenti da emettere (piani e capitolati) ammonta a 500 ore . Al documento la CO 1 ha assegnato la nota 5.00 considerando attenta la valutazione temporale. Lo studio mette a disposizione 5–6 persone per il mandato. Inoltre si evidenzia come in caso di cambiamento dei tempi lo studio possa rispondere in modo diretto alle necessità. Buona attendibilità del procedimento. La valutazione della committente non è meno discutibile delle precedenti. Nemmeno questo apprezzamento sconfina tuttavia nell'arbitrio. Anche questo giudizio risulta tutto sommato ancora sostenibile. Non apparendo lesivo del diritto sotto il profilo dell'abuso di potere, vanno dunque respinte le censure che il ricorrente solleva in proposito. 6.   Sulla scorta delle considerazioni che precedono, nella misura in cui postula l'annullamento dell'aggiudicazione, il ricorso va comunque accolto, poiché l'applicazione della clausola preferenziale prevista dalla posizione 9 del fascicolo 1 degli atti di gara a favore delle referenze concernenti case per anziani potrebbe permettere allo studio ricorrente di compensare il leggero scarto che separa il punteggio assegnato alla sua offerta da quello attribuito all'offerta della CO 2. Va invece respinta la richiesta di attribuzione del mandato, perché questo tribunale non può correggere i difetti riscontrati, sostituendosi in particolare alla committente nell'applicazione della clausola preferenziale disattesa. Gli atti vanno dunque retrocessi alla CO 1, affinché, debitamente protocollati e completati gli accertamenti sulle referenze, si pronunci nuovamente sulle due offerte rimaste in gara. Considerato che la CO 2 non ha resistito all'impugnativa, la tassa di giustizia è suddivisa fra la committente ed il ricorrente proporzionalmente al rispettivo grado di soccombenza. Nella misura in cui non sono compensate, le ripetibili sono invece poste a carico della CO 1. Per questi motivi, visti gli art. 15 CIAP, 4 DLACIAP; 3, 18, 28, 31, 60, 61, 65 PAmm; dichiara e pronuncia: 1.   Il ricorso è parzialmente accolto . §.  Di conseguenza: 1.1. la decisione 30 gennaio 2006 della CO 1 è annullata. 1.2. gli atti sono rinviati alla committente, affinché, debitamente completati e protocollati gli accertamenti sulle referenze, si pronunci nuovamente sulle due offerte rimaste in gara. 2.   La tassa di giustizia di fr. 2'000.- è a carico della CO 1 nella misura di fr. 1'800.- e del ricorrente per la differenza. 3.   La CO 1 rifonderà fr. 2'000.- al ricorrente a titolo di ripetibili. 4.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