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52.2006.59 vom 24. Februar 2006</w:t>
      </w:r>
    </w:p>
    <w:p>
      <w:r>
        <w:t>TI Tribunale d'appello, 2006-02-24, IT</w:t>
      </w:r>
    </w:p>
    <w:p>
      <w:r>
        <w:rPr>
          <w:b/>
        </w:rPr>
        <w:t xml:space="preserve">Quelle: </w:t>
      </w:r>
      <w:r>
        <w:t>https://mcp.opencaselaw.ch/entscheid/ti_gerichte_52.2006.59</w:t>
      </w:r>
    </w:p>
    <w:p>
      <w:r>
        <w:t>FR: TI_GERICHTE 52.2006.59 du 24 février 2006</w:t>
      </w:r>
    </w:p>
    <w:p>
      <w:r>
        <w:t>IT: TI_GERICHTE 52.2006.59 del 24 febbraio 2006</w:t>
      </w:r>
    </w:p>
    <w:p>
      <w:pPr>
        <w:pStyle w:val="Heading2"/>
      </w:pPr>
      <w:r>
        <w:t>Regeste</w:t>
      </w:r>
    </w:p>
    <w:p>
      <w:r>
        <w:t>Multa per violazione della quiete notturna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 1</w:t>
      </w:r>
    </w:p>
    <w:p>
      <w:r>
        <w:rPr>
          <w:b/>
        </w:rPr>
        <w:t>E. 2</w:t>
      </w:r>
    </w:p>
    <w:p>
      <w:r>
        <w:t>CO 2 Il presidente                                                                        Il segretario del Tribunale cantonale amministrativo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