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52.2006.275 vom 14. Mai 2007</w:t>
      </w:r>
    </w:p>
    <w:p>
      <w:r>
        <w:t>TI Tribunale d'appello, 2007-05-14, IT</w:t>
      </w:r>
    </w:p>
    <w:p>
      <w:r>
        <w:rPr>
          <w:b/>
        </w:rPr>
        <w:t xml:space="preserve">Quelle: </w:t>
      </w:r>
      <w:r>
        <w:t>https://mcp.opencaselaw.ch/entscheid/ti_gerichte_52.2006.275</w:t>
      </w:r>
    </w:p>
    <w:p>
      <w:r>
        <w:t>FR: TI_GERICHTE 52.2006.275 du 14 mai 2007</w:t>
      </w:r>
    </w:p>
    <w:p>
      <w:r>
        <w:t>IT: TI_GERICHTE 52.2006.275 del 14 maggio 2007</w:t>
      </w:r>
    </w:p>
    <w:p>
      <w:pPr>
        <w:pStyle w:val="Heading2"/>
      </w:pPr>
      <w:r>
        <w:t>Regeste</w:t>
      </w:r>
    </w:p>
    <w:p>
      <w:r>
        <w:t>Deliberazione di un consiglio comunale - questioni inerenti alla ricevibilità del ricorso e alla violazione di norme essenziali di procedura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 3 patrocinato da: PA 1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