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52.2006.19 vom 10. März 2006</w:t>
      </w:r>
    </w:p>
    <w:p>
      <w:r>
        <w:t>TI Tribunale d'appello, 2006-03-10, IT</w:t>
      </w:r>
    </w:p>
    <w:p>
      <w:r>
        <w:rPr>
          <w:b/>
        </w:rPr>
        <w:t xml:space="preserve">Quelle: </w:t>
      </w:r>
      <w:r>
        <w:t>https://mcp.opencaselaw.ch/entscheid/ti_gerichte_52.2006.19</w:t>
      </w:r>
    </w:p>
    <w:p>
      <w:r>
        <w:t>FR: TI_GERICHTE 52.2006.19 du 10 mars 2006</w:t>
      </w:r>
    </w:p>
    <w:p>
      <w:r>
        <w:t>IT: TI_GERICHTE 52.2006.19 del 10 marzo 2006</w:t>
      </w:r>
    </w:p>
    <w:p>
      <w:pPr>
        <w:pStyle w:val="Heading2"/>
      </w:pPr>
      <w:r>
        <w:t>Regeste</w:t>
      </w:r>
    </w:p>
    <w:p>
      <w:r>
        <w:t>Licenza per la creazione di un ristorante in zona mista residenziale artigianale</w:t>
      </w:r>
    </w:p>
    <w:p>
      <w:pPr>
        <w:pStyle w:val="Heading2"/>
      </w:pPr>
      <w:r>
        <w:t>Erwägungen</w:t>
      </w:r>
    </w:p>
    <w:p>
      <w:r>
        <w:rPr>
          <w:b/>
        </w:rPr>
        <w:t>E. 39</w:t>
      </w:r>
    </w:p>
    <w:p>
      <w:r>
        <w:t>cpv. 1 NAPR) . Gli art. 38 cpv. 1 e 39 cpv. 1 NAPR fanno capo al grado di molestia per limitare soltanto due tipi di insediamento: i laboratori artigianali in entrambe le zone e le attività industriali e commerciali nella zona RAr3, che devono essere "non molesti". Soltanto queste attività soggiacciono al divieto di alterare per loro natura il modo di vivere nell’abitato, provocando effetti ed in special modo implicando immissioni sostanzialmente diverse da quelle derivanti dall’abitare (art. 7 cpv. 8 NAPR). Insediamenti di servizio e simili, stando al testo letterale delle norme in questione, non sono invece assoggettati a particolari vincoli fissati in funzione del grado di molestia. Il loro “carattere” deve unicamente evitare di porsi in contrasto palese con la destinazione della zona stessa e delle zone circostanti. 2.3. Nel caso concreto, i ricorrenti intendono aprire un ristorante di medie dimensioni (80 posti interni e 40 esterni) in un edificio, adibito in passato al commercio di auto, che sorge nella zona mista, residenziale-artigianale RAr2 di M__________, lungo la strada cantonale A__________. Nell'ottica dell'incerta classificazione delle funzioni che il PR assegna alle varie zone, l'esercizio pubblico può essere considerato uno stabilimento di servizio. Dal profilo dell'art. 22 cpv. 2 lett. a LPT, questa destinazione si integra convenientemente nella funzione polivalente che il PR attribuisce alla zona mista. Le finalità commerciali che il ristorante persegue non si oppongono a questa deduzione. Le preesistenze e la funzione commerciale che il PR prevede di attribuire assieme a quella residenziale al comparto in esame non fanno che avvalorarla. Nemmeno il municipio d'altronde la contesta. A torto, il Consiglio di Stato ha ritenuto senza particolare giustificazione che un ristorante del genere fast food non potesse essere considerato un'infrastruttura di servizio, conciliabile con le eterogenee funzioni assegnate dal PR comunale alla zona mista RAr2. Nel caso in esame, il municipio non ha peraltro negato il permesso, perché ha considerato l'attività del controverso esercizio pubblico estranea alle molteplici funzioni della zona mista, ma perché l'ha ritenuta molesta, ovvero ingenerante ripercussioni, soprattutto di natura fonica, che oltrepassano i limiti fissati dall'art. 7 cpv. 8 NAPR. La deduzione, avallata dal Consiglio di Stato, non può essere condivisa. Anzitutto perché l'art. 38 cpv. 1 NAPR assoggetta soltanto i laboratori artigianali a particolari vincoli riferiti alla molestia. In secondo luogo, perché, comunque, l'attività del controverso esercizio pubblico, dal profilo delle immissioni, non può essere considerata incompatibile con le caratteristiche della zona mista residenziale-artigianale qui in discussione. La somministrazione di cibi rapidi (fast food), che caratterizza i ristoranti Mc Donald's, costituisce invero una modalità d'esercizio atta a provocare un avvicendamento più veloce degli avventori. Il maggior afflusso di clientela che ne deriva rimane tuttavia contenuto entro limiti ragionevoli e tollerabili. Non può essere enfatizzato al punto da ravvisarvi gli estremi di una turbativa inammissibile. Né tale conclusione può essere suffragata dalla presenza di uno sportello destinato alla distribuzione diretta di cibi e bevande agli automobilisti. Pur con il riserbo di cui l'autorità di ricorso deve dar prova nella verifica dell'applicazione del diritto comunale autonomo, le conclusioni tratte in proposito dal municipio non appaiono oggettivamente difendibili. Invano tenta il Consiglio di Stato di accreditarle, sostenendo che l'esercizio pubblico disattenderebbe la condizione posta dall'art. 39 cpv. 1 NAPR, laddove ammette soltanto insediamenti di servizio e simili a titolo di completamento della situazione preesistente. A prescindere dalla natura vaga ed indefinita del vincolo, al quale il municipio non si è peraltro nemmeno richiamato, non è dato di vedere come si possa escludere che l'apertura di un ristorante in un edificio a vocazione commerciale esistente da anni non costituisca un completamento della situazione preesistente. Dal profilo della conformità di zona, la decisione di diniego del permesso non può dunque essere tutelata. 3.   3.1. Giusta l'art. 11 cpv. 2 LPAmb, indipendentemente dal carico inquinante esistente, le emissioni, nell’ambito della prevenzione, devono essere limitate nella misura massima consentita dal progresso tecnico, dalle condizioni d’esercizio e dalle possibilità economiche. Le emissioni foniche di un impianto fisso nuovo, precisa l'art. 7 cpv. 1 OIF, devono essere limitate secondo le disposizioni dell’autorità esecutiva (a) nella maggior misura possibile dal punto di vista tecnico e dell’esercizio e sopportabile sotto il profilo economico, e (b) in modo che le immissioni foniche prodotte da detto impianto non superino i valori di pianificazione. L’esercizio di un impianto fisso nuovo o modificato sostanzialmente non deve (a) comportare il superamento dei valori limite d’immissione a causa della maggiore sollecitazione di un impianto per il traffico, (b) rispettivamente, quando detti valori sono già superati, non deve provocare, a causa della maggiore sollecitazione di un impianto per il traffico che deve essere risanato, immissioni foniche percettibilmente più elevate (art. 9 OIF). Limite, che secondo la direttiva Cercle bruit si fissa a 0.5 dB(A). 3.2. Nell'evenienza concreta, la strada cantonale A__________ costituisce un impianto del traffico che deve essere risanato perché con un TGM di quasi 28'000 veicoli produce immissioni foniche sensibilmente superiori ai VLI. Gli studi fonici allegati alla domanda di costruzione, che il municipio e gli opponenti non contestano, hanno tuttavia evidenziato che l'incremento del traffico indotto dal ristorante comporterà un aumento delle immissioni foniche pari a 0.1 dB(A). Situandosi di gran lunga al di sotto del limite di percettibilità, le condizioni dell'art. 9 lett. b OIF sono dunque pienamente rispettate. Dal profilo della legislazione ambientale, nulla si oppone dunque al rilascio della licenza. 4.   Sulla scorta di quanto precede, il ricorso deve dunque essere accolto, annullando la decisione del municipio ed il giudizio governativo che la conferma, siccome lesivi del diritto. La tassa di giustizia è suddivisa in parti uguali fra gli opponenti che hanno resistito all'impugnativa, ritenuto che il comune ne va esente in quanto comparso in lite per esigenze di funzione. Le ripetibili di prima istanza sono poste a carico dei quattro opponenti, mentre quelle di questa sede sono addebitate ai tre opponenti ancora resistenti (art. 28 e 31 PAmm). Per questi motivi, visti gli art. 21 LE; 7, 39 NAPR di M__________; 11 LPAmb ; 7, 9 OIF; 3, 18, 28, 31, 60, 61, 65 PAmm; dichiara e pronuncia: 1.   Il ricorso è accolto . §.  Di conseguenza: 1.1. sono annullate: – la decisione 13 dicembre 2005 del Consiglio di Stato (n. 6025); – la decisione 9 settembre 2005 del municipio di __________. 1.2. gli atti sono rinviati al municipio di CO 1 affinché rilasci la licenza richiesta alle condizioni fissate dal preavviso del Dipartimento del territorio. 2.   La tassa di giustizia di fr. 2'000.- è suddivisa in parti uguali fra CO 2 (fr. 1'000.-), CO 3 e __________ (fr. 1'000.-). 3.   Le ripetibili di fr. 3'000.- sono poste a carico di: - CO 3 e CO 4: fr. 1'500.-; - CO 2: fr. 1'000.-; - CO 5: fr. 500.-. 4.   Intimazione a: ; ; . terzi implicati 1. CO 1 2. CO 2 3. CO 3 4. CO 4 5. CO 5 6. CO 6 7. CO 7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