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52.2006.137 vom 14. Juni 2006</w:t>
      </w:r>
    </w:p>
    <w:p>
      <w:r>
        <w:t>TI Tribunale d'appello, 2006-06-14, IT</w:t>
      </w:r>
    </w:p>
    <w:p>
      <w:r>
        <w:rPr>
          <w:b/>
        </w:rPr>
        <w:t xml:space="preserve">Quelle: </w:t>
      </w:r>
      <w:r>
        <w:t>https://mcp.opencaselaw.ch/entscheid/ti_gerichte_52.2006.137</w:t>
      </w:r>
    </w:p>
    <w:p>
      <w:r>
        <w:t>FR: TI_GERICHTE 52.2006.137 du 14 juin 2006</w:t>
      </w:r>
    </w:p>
    <w:p>
      <w:r>
        <w:t>IT: TI_GERICHTE 52.2006.137 del 14 giugno 2006</w:t>
      </w:r>
    </w:p>
    <w:p>
      <w:pPr>
        <w:pStyle w:val="Heading2"/>
      </w:pPr>
      <w:r>
        <w:t>Regeste</w:t>
      </w:r>
    </w:p>
    <w:p>
      <w:r>
        <w:t>Revoca preventiva e cautelare della licenza di condurre a carico di un conducente che risulta positivo a controlli delle urine per consumo di canapa sull'arco di tre mesi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