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52.2006.101 vom 24. Mai 2006</w:t>
      </w:r>
    </w:p>
    <w:p>
      <w:r>
        <w:t>TI Tribunale d'appello, 2006-05-24, IT</w:t>
      </w:r>
    </w:p>
    <w:p>
      <w:r>
        <w:rPr>
          <w:b/>
        </w:rPr>
        <w:t xml:space="preserve">Quelle: </w:t>
      </w:r>
      <w:r>
        <w:t>https://mcp.opencaselaw.ch/entscheid/ti_gerichte_52.2006.101</w:t>
      </w:r>
    </w:p>
    <w:p>
      <w:r>
        <w:t>FR: TI_GERICHTE 52.2006.101 du 24 mai 2006</w:t>
      </w:r>
    </w:p>
    <w:p>
      <w:r>
        <w:t>IT: TI_GERICHTE 52.2006.101 del 24 maggio 2006</w:t>
      </w:r>
    </w:p>
    <w:p>
      <w:pPr>
        <w:pStyle w:val="Heading2"/>
      </w:pPr>
      <w:r>
        <w:t>Regeste</w:t>
      </w:r>
    </w:p>
    <w:p>
      <w:r>
        <w:t>Revoca d'ammonimento della licenza di condurre. Il periodo di revoca non può essere frazionato, né può essere scelto a piacimento del conducente sanzionato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 2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