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52.2005.97 vom 13. April 2005</w:t>
      </w:r>
    </w:p>
    <w:p>
      <w:r>
        <w:t>TI Tribunale d'appello, 2005-04-13, IT</w:t>
      </w:r>
    </w:p>
    <w:p>
      <w:r>
        <w:rPr>
          <w:b/>
        </w:rPr>
        <w:t xml:space="preserve">Quelle: </w:t>
      </w:r>
      <w:r>
        <w:t>https://mcp.opencaselaw.ch/entscheid/ti_gerichte_52.2005.97</w:t>
      </w:r>
    </w:p>
    <w:p>
      <w:r>
        <w:t>FR: TI_GERICHTE 52.2005.97 du 13 avril 2005</w:t>
      </w:r>
    </w:p>
    <w:p>
      <w:r>
        <w:t>IT: TI_GERICHTE 52.2005.97 del 13 aprile 2005</w:t>
      </w:r>
    </w:p>
    <w:p>
      <w:pPr>
        <w:pStyle w:val="Heading2"/>
      </w:pPr>
      <w:r>
        <w:t>Regeste</w:t>
      </w:r>
    </w:p>
    <w:p>
      <w:r>
        <w:t>delibera opere di ventilazione per una casa per anziani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LCPubb, entrato in vigore il 4 febbraio 2005 (BU n. 4/2005, pag. 24 e n. 7/2005, pag. 66), il principio della buona fede impedirebbe comunque di ritenerlo tardivo (DTF 117 Ia 421 consid. 2a; 116 Ib 141 consid. 2; LVGE 2003 III n. 5); che il giudizio può essere emanato sulla base degli atti (art. 18 PAmm); che, giusta l'art. 61 cpv. 1 PAmm, il ricorso al Tribunale cantonale amministrativo è proponibile contro la violazione del diritto; costituisce in particolare violazione del diritto, soggiunge il disposto (cpv. 2), l'errata o la mancata applicazione di una norma stabilita dalla legge o risultante implicitamente da essa, l'apprezzamento giuridico erroneo di un fatto, l'eccesso o l'abuso di potere e la violazione di una norma essenziale di procedura; che il controllo dell'apprezzamento da parte di questo tribunale non è dunque illimitato, ma circoscritto alla verifica che l'autorità decidente non abbia travalicato i limiti del potere discrezionale riservatole dalla legge o l'abbia esercitato in spregio dei principi generali del diritto; il Tribunale cantonale amministrativo deve in particolare evitare di sostituire il proprio apprezzamento a quello della precedente istanza, limitandosi a censurare quelle decisioni che integrano gli estremi di una violazione del diritto sotto il profilo dell'eccesso o dell'abuso di potere: ipotesi, quest'ultima, che si verifica unicamente nei casi in cui la decisione appare insostenibile, siccome priva di giustificazioni oggettive, fondata su considerazioni estranee o altrimenti lesiva dei principi fondamentali del diritto, segnatamente di quelli riferiti alla parità di trattamento o all'adeguatezza (cfr. DTF 104 Ia 206; RDAT 1994 I n. 34; Ulrich Häfelin / Georg Müller, Allgemeines Verwaltungrecht,</w:t>
      </w:r>
    </w:p>
    <w:p>
      <w:r>
        <w:rPr>
          <w:b/>
        </w:rPr>
        <w:t>E. 4</w:t>
      </w:r>
    </w:p>
    <w:p>
      <w:r>
        <w:t>a</w:t>
      </w:r>
    </w:p>
    <w:p>
      <w:r>
        <w:rPr>
          <w:b/>
        </w:rPr>
        <w:t>E. 5</w:t>
      </w:r>
    </w:p>
    <w:p>
      <w:r>
        <w:t>(+ 1) e rettificando di conseguenza il relativo punteggio parziale (+ 5.83); che con questa correzione, il punteggio complessivo della ricorrente aumenta da 87.29 a 93.12, superando quello della CO 1 (90.73); che il ricorso va pertanto accolto, annullando la decisione impugnata; che, disponendo questo tribunale degli elementi necessari per decidere direttamente nel merito (art. 41 cpv. 1 seconda frase LCPubb), i lavori messi a concorso vanno aggiudicati alla ricorrente; che la tassa di giudizio è posta a carico della CO 2 secondo soccombenza, ritenuto che la CO 1 non si è esplicitamente opposta all'accoglimento del ricorso. Per questi motivi, visti gli art. 36, 37, 41 LCPubb; 3, 18, 28, 43, 60, 61, 65 PAmm; dichiara e pronuncia: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