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52.2005.389 vom 5. Oktober 2006</w:t>
      </w:r>
    </w:p>
    <w:p>
      <w:r>
        <w:t>TI Tribunale d'appello, 2006-10-05, IT</w:t>
      </w:r>
    </w:p>
    <w:p>
      <w:r>
        <w:rPr>
          <w:b/>
        </w:rPr>
        <w:t xml:space="preserve">Quelle: </w:t>
      </w:r>
      <w:r>
        <w:t>https://mcp.opencaselaw.ch/entscheid/ti_gerichte_52.2005.389</w:t>
      </w:r>
    </w:p>
    <w:p>
      <w:r>
        <w:t>FR: TI_GERICHTE 52.2005.389 du 5 octobre 2006</w:t>
      </w:r>
    </w:p>
    <w:p>
      <w:r>
        <w:t>IT: TI_GERICHTE 52.2005.389 del 5 ottobre 2006</w:t>
      </w:r>
    </w:p>
    <w:p>
      <w:pPr>
        <w:pStyle w:val="Heading2"/>
      </w:pPr>
      <w:r>
        <w:t>Regeste</w:t>
      </w:r>
    </w:p>
    <w:p>
      <w:r>
        <w:t>Obbligo di tenere chiuse le porte e le finestre della cucina di un esercizio pubblico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 3</w:t>
      </w:r>
    </w:p>
    <w:p>
      <w:r>
        <w:rPr>
          <w:b/>
        </w:rPr>
        <w:t>E. 4</w:t>
      </w:r>
    </w:p>
    <w:p>
      <w:r>
        <w:t>CO 4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