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52.2005.32 vom 2. März 2005</w:t>
      </w:r>
    </w:p>
    <w:p>
      <w:r>
        <w:t>TI Tribunale d'appello, 2005-03-02, IT</w:t>
      </w:r>
    </w:p>
    <w:p>
      <w:r>
        <w:rPr>
          <w:b/>
        </w:rPr>
        <w:t xml:space="preserve">Quelle: </w:t>
      </w:r>
      <w:r>
        <w:t>https://mcp.opencaselaw.ch/entscheid/ti_gerichte_52.2005.32</w:t>
      </w:r>
    </w:p>
    <w:p>
      <w:r>
        <w:t>FR: TI_GERICHTE 52.2005.32 du 2 mars 2005</w:t>
      </w:r>
    </w:p>
    <w:p>
      <w:r>
        <w:t>IT: TI_GERICHTE 52.2005.32 del 2 marzo 2005</w:t>
      </w:r>
    </w:p>
    <w:p>
      <w:pPr>
        <w:pStyle w:val="Heading2"/>
      </w:pPr>
      <w:r>
        <w:t>Regeste</w:t>
      </w:r>
    </w:p>
    <w:p>
      <w:r>
        <w:t>aggiudicazione lavori di vuotatura della camera di un riale</w:t>
      </w:r>
    </w:p>
    <w:p>
      <w:pPr>
        <w:pStyle w:val="Heading2"/>
      </w:pPr>
      <w:r>
        <w:t>Erwägungen</w:t>
      </w:r>
    </w:p>
    <w:p>
      <w:r>
        <w:rPr>
          <w:b/>
        </w:rPr>
        <w:t>E. 3.1</w:t>
      </w:r>
    </w:p>
    <w:p>
      <w:r>
        <w:t>Nell'evenienza concreta, la posizione 252.105 del capitolato d'offerta imponeva tuttavia ai partecipanti alla gara di tenersi pronti a fornire, previa sollecitazione del committente, i documenti attestanti il pagamento degli oneri sociali per le ditte non partecipanti al bando ma aventi i medesimi titolari o controllate dalle stesse persone della ditta partecipante . La prescrizione, al di là della sua ammissibilità, chiedeva ai concorrenti di essere quantomeno disposti a produrre tali dichiarazioni dietro richiesta del committente. Constatato in base alle risultanze del RC che la RI 1, la __________ SA e la __________ hanno in comune il presidente del consiglio di amministrazione (PA 1), l'amministratore delegato (__________) ed il direttore (__________), il municipio ha chiesto alla ricorrente di produrre le dichiarazioni comprovanti l'avvenuto pagamento dei contributi sociali e delle imposte da parte delle ditte __________ SA e __________ SA. La richiesta, accompagnata dalla comminatoria d'esclusione dell'offerta qualora non fosse stata soddisfatta nel termine assegnato, si richiamava direttamente all'art. 25 lett. f LCPubb, posto a fondamento della succitata prescrizione del capitolato. La RI 1 si è rifiutata di darvi seguito, obiettando che era priva di base legale e violava il diritto alla protezione della personalità delle ditte summenzionate. Ai fini del giudizio non occorre stabilire se la ricorrente fosse effettivamente tenuta o meno a produrre le dichiarazioni delle ditte in questione. L'estromissione si giustifica in effetti già perché il rifiuto opposto dalla RI 1 costituisce una chiara disattenzione dell'obbligo di essere quantomeno disposta a fornire i documenti attestanti il pagamento degli oneri sociali per le ditte non partecipanti al bando ma aventi i medesimi titolari o controllate dalle stesse persone della ditta partecipante . Obbligo, questo, che non può essere rimesso in discussione in sede di ricorso contro l'aggiudicazione (art. 38 cpv. 3 LCPubb), avendo la TVB omesso di contestarlo mediante impugnazione del bando (art. 37 lett. a LCPubb), rispettivamente avendolo accettato con l'inoltro dell'offerta (art. 31 cpv. 2 RLCPubb). Diverso avrebbe eventualmente potuto essere l'esito del ricorso, se la RI 1, invece di rifiutarsi categoricamente di dar seguito alla richiesta, contestandone tardivamente la legittimità, avesse semplicemente dichiarato di non essere in grado di soddisfarla a causa del rifiuto delle ditte __________ SA e __________ SA, estranee alla gara, di metterle a disposizione le dichiarazioni in questione.</w:t>
      </w:r>
    </w:p>
    <w:p>
      <w:r>
        <w:rPr>
          <w:b/>
        </w:rPr>
        <w:t>E. 4</w:t>
      </w:r>
    </w:p>
    <w:p>
      <w:r>
        <w:t>Sulla scorta delle considerazioni che precedono, il ricorso va quindi respinto, poiché la ricorrente, disattendendo l'obbligo summenzionato, si è in definitiva rifiutata di dar seguito ad un obbligo impostole dal capitolato, che il committente considerava essenziale. La tassa di giustizia è posta a carico della ricorrente secondo soccombenza. Per questi motivi, visti gli art. 25 lett. f, 36, 37 LCPubb; 30 RLCPubb; 3, 18, 28, 60, 61 PAmm; dichiara e pronuncia: 1.   Il ricorso è respinto. 2.   La tassa di giustizia di fr. 1'000.- è a carico della ricorrente. 3.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