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52.2005.280 vom 19. Oktober 2005</w:t>
      </w:r>
    </w:p>
    <w:p>
      <w:r>
        <w:t>TI Tribunale d'appello, 2005-10-19, IT</w:t>
      </w:r>
    </w:p>
    <w:p>
      <w:r>
        <w:rPr>
          <w:b/>
        </w:rPr>
        <w:t xml:space="preserve">Quelle: </w:t>
      </w:r>
      <w:r>
        <w:t>https://mcp.opencaselaw.ch/entscheid/ti_gerichte_52.2005.280</w:t>
      </w:r>
    </w:p>
    <w:p>
      <w:r>
        <w:t>FR: TI_GERICHTE 52.2005.280 du 19 octobre 2005</w:t>
      </w:r>
    </w:p>
    <w:p>
      <w:r>
        <w:t>IT: TI_GERICHTE 52.2005.280 del 19 ottobre 2005</w:t>
      </w:r>
    </w:p>
    <w:p>
      <w:pPr>
        <w:pStyle w:val="Heading2"/>
      </w:pPr>
      <w:r>
        <w:t>Regeste</w:t>
      </w:r>
    </w:p>
    <w:p>
      <w:r>
        <w:t>Costruzione casa d'abitazione unifamiliare nella zona nucleo</w:t>
      </w:r>
    </w:p>
    <w:p>
      <w:pPr>
        <w:pStyle w:val="Heading2"/>
      </w:pPr>
      <w:r>
        <w:t>Erwägungen</w:t>
      </w:r>
    </w:p>
    <w:p>
      <w:r>
        <w:rPr>
          <w:b/>
        </w:rPr>
        <w:t>E. 29</w:t>
      </w:r>
    </w:p>
    <w:p>
      <w:r>
        <w:t>cpv. 4 NAPR, negando al fondo della resistente la qualifica di spazio libero. La valutazione operata dall'autorità comunale appare del tutto sostenibile. Il fondo dedotto in edificazione, di 713 mq, è invero già parzialmente occupato da edifici, ma presenta verso est una superficie ancora inedificata (sub p), relativamente ampia, che verrebbe ulteriormente estesa mediante la demolizione di due fabbricati secondari (sub E ed I). Non si tratta quindi di un piccolo spazio racchiuso tra le costruzioni, che contribuisce a caratterizzare il tessuto edilizio del nucleo. Vanno quindi disattese le censure riproposte in questa sede dal ricorrente __________ con riferimento all'edificabilità del fondo dal profilo della salvaguardia degli spazi liberi. 3.   3.1. Secondo l'art. 29 cpv. 4 NAPR di __________, l'altezza degli edifici deve tener conto di quella generale dei fabbricati circostanti e dell'andamento generale dei tetti del nucleo, al fine di salvaguardare il ritmo delle volumetrie e delle coperture esistenti. La prescrizione, disciplinante lo sviluppo verticale degli edifici, precisa l'obbligo generale di adattare le costruzioni all'aspetto tradizionale del nucleo, sancito dalla stessa norma. Come giustamente annota il Consiglio di Stato, essa mira a salvaguardare l'identità del tessuto edilizio presente nella zona del nucleo. Al fine di assicurare la necessaria flessibilità, essa conferisce al municipio un certo potere d'apprezzamento in ordine alla limitazione degli ingombri verticali. Essa appartiene inoltre al diritto comunale autonomo. Il Consiglio di Stato, che di per sé può rivedere liberamente l'apprezzamento (art. 56 PAmm), deve quindi limitarsi a verificare che il municipio non sia incorso in una violazione del diritto segnatamente sotto il profilo dell'abuso di potere (art. 61 PAmm). Non può sostituire il suo apprezzamento a quello del municipio, ma deve limitarsi ad accertare che la decisione non sia insostenibile, in quanto fondata su considerazioni estranee alla materia, sprovvista di valide ragioni o altrimenti lesiva dei diritti costituzionali. Ove non sussista una simile violazione del diritto, esso non può annullare una decisione del municipio senza esporsi al rimprovero di essersi arrogato un potere di cognizione che contraddice il principio dell'autonomia comunale. Irrilevante, al riguardo, è il fatto che l'apprezzamento esercitato dal Consiglio di Stato conduca a conclusioni altrettanto sostenibili o addirittura preferibili (DTF 96 I 369 seg, consid. 4; STA 17.1.2000 in re B; Marco Borghi/Guido Corti, Compendio di procedura amministrativa ticinese, ad art. 56 PAmm, n. 3.). 3.2. Nel caso concreto, la decisione del municipio non appare per nulla insostenibile. L'altezza della casetta in discussione non si scosta in misura significativa da quella degli edifici circostanti, alcuni dei quali presentano ingombri notevolmente più consistenti. Non si può ragionevolmente sostenere che non tenga debitamente conto dell'altezza generale degli altri fabbricati presenti in quel particolare comparto del nucleo. Il ritmo delle volumetrie e delle coperture esistenti non viene alterato in misura apprezzabile. Vero è che la costruzione, in quanto insistente su un fondo situato ai margini del nucleo, è particolarmente esposta alla vista dall'esterno. L'altezza relativamente contenuta del fabbricato esclude tuttavia che vi si possa ravvisare un intervento inconciliabile con l'obbligo di integrare convenientemente le nuove costruzioni nell'aspetto tradizionale del nucleo. Il fatto che un'edificazione in contiguità con le costruzioni esistenti verso ovest possa per certi aspetti apparire preferibile non permette di concludere che lo stabile in oggetto disattenda tale obbligo. Per quanto opinabile possa apparire agli occhi degli insorgenti, la valutazione operata dal municipio circa l'inserimento della nuova costruzione nel tessuto del nucleo tradizionale non integra affatto gli estremi della violazione del diritto sotto il profilo dell'abuso di potere. Essa va quindi confermata. 4. Per quanto riguarda le censure sollevate dai ricorrenti in relazione alle distanze dalla zona di protezione, è sufficiente un rinvio alle pertinenti considerazioni sviluppate dal Consiglio di Stato, che questo tribunale fa proprie. 5. Quanto all'altezza del camino, contestata dal ricorrente __________, basta rilevare che il preavviso del Dipartimento del territorio, richiamato dalla licenza in esame, subordina il rilascio del permesso all'obbligo di rispettare le raccomandazioni dell'UFAFP. Il camino dovrà quindi innalzarsi sino a 50 cm oltre il colmo del tetto. 6.   Sulla scorta delle considerazioni che precedono, i ricorsi vanno quindi respinti. La tassa di giustizia e le ripetibili sono suddivise fra i ricorrenti in parti uguali. Per questi motivi, visti gli art. 21 LE; 29 NAPR di __________; 3, 18, 28, 31, 60, 61 PAmm; dichiara e pronuncia: 1.   I ricorsi sono respinti. 2. La tassa di giustizia di fr. 1'500.- è suddivisa in parti uguali fra i ricorrenti. 3.   Le ripetibili di fr. 1'800.- sono suddivise in parti uguali fra i ricorrenti. 4.   Intimazione a: ; patr. da:; ; ; . terzi implicati 1. CO 1 1 patrocinata da: PA 1 2. CO 2 2 patrocinato da: PA 2 3. CO 3 4. CO 4 5. CO 5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