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52.2004.413 vom 10. Februar 2005</w:t>
      </w:r>
    </w:p>
    <w:p>
      <w:r>
        <w:t>TI Tribunale d'appello, 2005-02-10, IT</w:t>
      </w:r>
    </w:p>
    <w:p>
      <w:r>
        <w:rPr>
          <w:b/>
        </w:rPr>
        <w:t xml:space="preserve">Quelle: </w:t>
      </w:r>
      <w:r>
        <w:t>https://mcp.opencaselaw.ch/entscheid/ti_gerichte_52.2004.413</w:t>
      </w:r>
    </w:p>
    <w:p>
      <w:r>
        <w:t>FR: TI_GERICHTE 52.2004.413 du 10 février 2005</w:t>
      </w:r>
    </w:p>
    <w:p>
      <w:r>
        <w:t>IT: TI_GERICHTE 52.2004.413 del 10 febbraio 2005</w:t>
      </w:r>
    </w:p>
    <w:p>
      <w:pPr>
        <w:pStyle w:val="Heading2"/>
      </w:pPr>
      <w:r>
        <w:t>Regeste</w:t>
      </w:r>
    </w:p>
    <w:p>
      <w:r>
        <w:t>costruzione stabile d'appartamenti</w:t>
      </w:r>
    </w:p>
    <w:p>
      <w:pPr>
        <w:pStyle w:val="Heading2"/>
      </w:pPr>
      <w:r>
        <w:t>Erwägungen</w:t>
      </w:r>
    </w:p>
    <w:p>
      <w:r>
        <w:rPr>
          <w:b/>
        </w:rPr>
        <w:t>E. 39</w:t>
      </w:r>
    </w:p>
    <w:p>
      <w:r>
        <w:t>LE, n. 1202). La facilitazione concernente le gronde ed i balconi non esclude la realizzazione di gronde e balconi sporgenti più di m 1.10. Esige soltanto che la distanza dal confine sia aumentata in misura corrispondente alla maggior sporgenza (Scolari, op. cit., ad art. 39 LE, n. 1195). 2.3. Nell'evenienza concreta, la casa d'abitazione dell'opponente presenta sul lato verso il fondo del ricorrente una pensilina d'ingresso, destinata a coprire un pianerottolo rialzato in muratura massiccia, accessibile di lato superando 5 scalini, che occupa la fascia di terreno, larga circa m 1.50, compresa tra la facciata nord dell'edificio ed il confine verso il fondo del ricorrente. La pensilina è costituita da una sporgenza dello spiovente del tetto, che si estende sino al predetto confine, lungo il quale si appoggia su due colonnine alte circa un metro, insistenti su un muro alto a sua volta un paio di metri, destinato a chiudere il pianerottolo rialzato. Il municipio ha ritenuto che la distanza di m 1.60 dalle costruzioni, prescritta dall'art. 13 NAPR, fosse da computare prescindendo dalla pensilina aperta lateralmente. Ne ha quindi dedotto che tale distanza fosse rispettata, poiché la facciata nord della casa della resistente sorge a  m 2.28 dall'autorimessa sotterranea. Il Consiglio di Stato ha invece ritenuto che la pensilina fosse da prendere in considerazione ai fini della misurazione della distanza, poiché sporge per più di m 1.10 dalla facciata principale. La tesi del Governo appare fondata, poiché la pensilina chiusa lungo il confine ed il pianerottolo costituiscono un corpo sporgente che non può essere ignorato né dal profilo generale dell'art. 41 RLE, né dal profilo specifico dell'art. 13 RLE, che, stando al suo tenore letterale ed alle sue finalità, impone di prendere in considerazione qualsiasi costruzione esistente sullo stesso fondo o sul fondo contiguo, indipendentemente dal fatto che si tratti di una costruzione principale o di una costruzione accessoria. A torto sostiene il ricorrente che l'avancorpo sarebbe una costruzione accessoria, che come tale può sorgere a confine. Controversa non è la distanza dell'avancorpo dal confine, ma quella dell'autorimessa sotterranea da questo manufatto. Parimenti, non giova all'insorgente eccepirne la legittimità. Fintanto che esiste non può essere ignorato ai fini della misurazione della distanza che l'autorimessa sotterranea è tenuta a rispettare. Anche se l'avancorpo non rispetta la distanza dal confine, l'art. 9 cpv. 4 NAPR non permette al municipio di ridurre al di sotto di 6 m la distanza verso edifici sorti prima dell'adozione del PR ad una distanza dal confine inferiore a quella prescritta. Invano pretende infine l'insorgente di considerare l'avancorpo come una semplice gronda. La porzione dello spiovente del tetto che protegge l'ingresso è sorretta da colonnine appoggiate sul muro che chiude il pianerottolo verso il fondo del ricorrente. Non è quindi soltanto una semplice gronda che sporge oltre il filo della facciata, ma presenta le connotazioni di un corpo edilizio, che per il suo ingombro non può essere ignorato ai fini della misurazione delle distanze. 3.   Distanza dalla strada 3.1. Le distanze dalle strade mirano a tutelare la sicurezza della circolazione, di assicurare la possibilità di future correzioni e dare all'ambiente circostante un aspetto decoroso ed ordinato. In esse si identificano inoltre i fini perseguiti dalle distanze verso gli altri fondi, come la buona insolazione, l'aerazione e l'illuminazione naturale delle abitazioni e dei locali di lavoro, la tutela dalle immissioni di rumori e dai pericoli d'incendio (Scolari, op. cit., ad art. 25 LE, n, 1029). 3.2. A norma dell'art. 9 cpv. 7.2 NAPR, dove non sono indicate linee di arretramento o linee di costruzione la distanza minima delle costruzioni verso strade e piazze è di 4.00 m dal ciglio stradale nelle zone R2, RU2, R2c e R3c. Nelle altre zone vale invece la distanza minima da confine. La norma non conferisce al municipio la facoltà di concedere deroghe. Il fondo del ricorrente è situato nella zona R3 e non è gravato da linee di arretramento o di costruzione. Vale quindi la distanza minima da confine. 3.3. Per edifici alti sino a m 9.80, rispettivamente m 11.60 al colmo la distanza minima dal confine è di m 4.50 (art. 7 cpv. 2.1 NAPR). Il controverso edificio è alto m 9.80 alla gronda, rispettivamente m 11.60 al colmo. Verso via __________ deve di conseguenza rispettare una distanza minima di m 4.50. 3.4. Secondo l'art. 42 cpv. 2 RLE, ove non sia altrimenti disposto, le distanze dalle strade devono essere osservate anche nelle opere sotterranee. Il PR di __________ non contiene alcuna disposizione che sottragga le opere sotterranee alle distanza dalle strade. In concreto, l'autorimessa sotterranea verrebbe edificata ad una distanza variante tra m 1.02 e m 2.71 da via __________. Non è quindi conforme alle norme summenzionate. 3.5. Il municipio ha ritenuto di poterla nondimeno autorizzare in forza dell'art. 100 del regolamento comunale (RC). Giusta l'art. 100 RC, l'uso speciale dei beni amministrativi è ammissibile solo se è conforme o almeno compatibile con la loro destinazione generale (lett. a). L'uso di poca intensità dei beni amministrativi è soggetto ad autorizzazione (lett. b). Quello intenso e durevole è invece soggetto a concessione. È tale in particolare: l'occupazione con costruzioni ed impianti stabili di una certa importanza, come la sporgenza di pensiline, balconi e passi sotterranei o aerei; la posa o installazione di infrastrutture tecnologiche come condotte d'acqua, di trasporto dell'energia, di evacuazione delle acque di rifiuto, di cavi e supporti; l'esposizione durevole di tavolini, bancarelle e simili per l'esercizio di commerci (lett. c). L'art. 100 RC è manifestamente inapplicabile alla fattispecie. La fascia di terreno larga m 4.50, che fronteggia via __________, appartiene infatti al ricorrente. Non essendo un bene amministrativo, non può essere data in concessione per uso speciale od esclusivo. A maggior ragione si giustifica questa conclusione ove si consideri che per ammissione dello stesso municipio non è prevista alcuna espropriazione per allargamenti stradali. 3.6. In assenza di una base legale, che permetta di rilasciare un'autorizzazione in deroga alle distanze dalla strada, la licenza non può essere rilasciata nemmeno sotto forma di precario. Lo esclude il principio di legalità dell'amministrazione. Il cosiddetto precario è infatti soltanto una forma particolare di licenza in deroga, che non dispensa l'autorità dall'obbligo di fondarsi su una base legale (RDAT I-1991 n. 44, pag. 101; Scolari, op. cit., ad art. 25 LE, n. 1042; Erich Zimmerlin, Baugesetz des Kt. Aargau, II a ed., § 137-140 n. 12; ). Esso si configura come una semplice clausola del permesso eccezionale, mediante la quale il proprietario si impegna, verificandosi determinati presupposti, a rimuovere l'opera a sue spese ( Beseitigungsrevers ), rinunciando al risarcimento degli investimenti effettuati ( Mehrwertrevers ). È soltanto una condizione che viene inserita in ossequio al principio di proporzionalità nell'autorizzazione in deroga al fine di renderne possibile il rilascio. Il precario non è un istituto che permette, per motivi di proporzionalità, di rilasciare licenze in contrasto con il diritto nei casi in cui la legge non conferisce all'autorità alcuna facoltà di deroga. Il principio di proporzionalità non permette in particolare di sopperire alla mancanza di una base legale, che conferisca all'autorità di rilasciare licenze in deroga. Permette soltanto di evitarne il diniego subordinandole a determinate condizioni (David Fries, Reverse in der zürcherischen Baurecthspraxis, Zürcher Schriften zum öffentlichen Recht, Zurigo 1990, pag. 112 seg). Anche da questo profilo, non contemplando le NAPR alcuna disposizione che conferisca al municipio la facoltà di concedere deroghe alla distanza dalle strade, la licenza non poteva dunque essere rilasciata. Invano si richiama l'insorgente all'art. 25 cpv. 3 LE, che permette di concedere deroghe alla distanza dalle strade. La norma si applica soltanto fino all'introduzione dei PR (cfr. art. 25 cpv. 1 LE). Non può dunque fungere da base legale ad __________, che dispone di un PR sin dal lontano 1987 . Tanto meno giova al ricorrente eccepire la legittimazione attiva della resistente a contestare la distanza dalla strada. La qualità per agire in via di ricorso amministrativo non dipende dalla natura della norma che l'insorgente ritiene disattesa, ma dalla sua situazione personale per rapporto all'oggetto della contestazione e dall'interesse fatto valere (Scolari, op. cit., ad art. 21 LE, n. 930 seg); presupposti, che in concreto, erano incontestabilmente dati. La violazione del diritto eccepita dall'opponente poteva d'altro canto essere rilevata anche d'ufficio dal Consiglio di Stato (art. 56 PAmm). 4.   Sulla scorta delle considerazioni che precedono, il ricorso va quindi respinto. La tassa di giustizia, commisurata al lavoro occasionato dall'impugnativa al tribunale ed al patrocinatore della resistente, nonché al valore di causa, è posta a carico del ricorrente secondo soccombenza, ritenuto che il comune ne va esente. Le ripetibili sono invece suddivise in parti uguali fra il comune ed il ricorrente. Per questi motivi, visti gli art. 21, 24, 39 LE, 7, 9 NAPR di __________; 3, 18, 28, 31, 43, 60, 61 PAmm; dichiara e pronuncia: 1.   Il ricorso è respinto. 2. La tassa di giustizia di fr. 1'500.- è posta a carico del ricorrente. 3. Le ripetibili di fr. 800.- sono suddivise in parti uguali fra il comune ed il ricorrente. 3.   Intimazione a: patr. da:; ; ; . terzi implicati 1. CO 1 1 patrocinata da: PA 2 2. CO 2 3. CO 3 4. CO 4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