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52.2004.361 vom 23. März 2005</w:t>
      </w:r>
    </w:p>
    <w:p>
      <w:r>
        <w:t>TI Tribunale d'appello, 2005-03-23, IT</w:t>
      </w:r>
    </w:p>
    <w:p>
      <w:r>
        <w:rPr>
          <w:b/>
        </w:rPr>
        <w:t xml:space="preserve">Quelle: </w:t>
      </w:r>
      <w:r>
        <w:t>https://mcp.opencaselaw.ch/entscheid/ti_gerichte_52.2004.361</w:t>
      </w:r>
    </w:p>
    <w:p>
      <w:r>
        <w:t>FR: TI_GERICHTE 52.2004.361 du 23 mars 2005</w:t>
      </w:r>
    </w:p>
    <w:p>
      <w:r>
        <w:t>IT: TI_GERICHTE 52.2004.361 del 23 marzo 2005</w:t>
      </w:r>
    </w:p>
    <w:p>
      <w:pPr>
        <w:pStyle w:val="Heading2"/>
      </w:pPr>
      <w:r>
        <w:t>Regeste</w:t>
      </w:r>
    </w:p>
    <w:p>
      <w:r>
        <w:t>campo di applicazione della legge sugli appalti pubblici in caso di opere edili parzialmente sussidiate in natura da parte del Cantone</w:t>
      </w:r>
    </w:p>
    <w:p>
      <w:pPr>
        <w:pStyle w:val="Heading2"/>
      </w:pPr>
      <w:r>
        <w:t>Erwägungen</w:t>
      </w:r>
    </w:p>
    <w:p>
      <w:r>
        <w:rPr>
          <w:b/>
        </w:rPr>
        <w:t>E. 6</w:t>
      </w:r>
    </w:p>
    <w:p>
      <w:r>
        <w:t>e STF 16.5.2001, inc. n. 2P.19/2001, consid. 1 a/bb, parz. pubbl. in RDAT II-2001 N. 96). In quest'ordine di idee, il sussidio cantonale erogato ai sensi dell'art. 2 cpv. 1 frase terza LCPubb costituisce quindi una parte della controprestazione dovuta dal committente all'aggiudicatario della commessa. Scopo della normativa è essenzialmente quello di garantire una concorrenza efficace e quindi un uso parsimonioso delle risorse finanziarie pubbliche (cfr. art. 1 lett. c e d LCPubb), estendendo il campo d'applicazione della legge alle commesse assegnate da committenti privati, ma finanziate in modo rilevante dallo Stato. 4.   In concreto, il parlamento ticinese ha concesso alla fondazione un contributo di un milione di franchi svizzeri per finanziare la costruzione della __________. Questa somma verrà impiegata per pagare le prestazioni edili fornite e si configura pertanto alla stregua di un sussidio cantonale giusta l'art. 2 cpv. 1 frase terza LCPubb. La concessione in uso speciale di parte dei mapp. __________ e __________ di Mendrisio non costituisce per contro un sussidio cantonale ai sensi della norma succitata, dal momento che non va a confluire nella controprestazione dovuta agli artigiani per la fornitura delle opere edili necessarie alla costruzione del nuovo centro. Semplicemente, rappresenta una prestazione in natura dello Stato a favore della fondazione. D'altra parte, la situazione non sarebbe diversa nemmeno se lo Stato, oltre al milione di franchi accordato per la costruzione vera e propria, avesse sovvenzionato anche la compera di un terreno di terzi, ritenuto che per principio l'acquisizione di beni immobili non soggiace alla legislazione sugli appalti pubblici (cfr. e contrario art. 4 LCPubb, 5 LAPub, 6 CIAP e I cpv. 2 accordo GATT/OMC). Ai fini del presente giudizio non è pertanto necessario appurare se la concessione in uso speciale del sedime occorrente all'edificazione del centro sia assimilabile ad un sussidio in natura in virtù della legge sui sussidi cantonali. Ciò che conta è che non lo è di certo dal profilo della LCPubb. Neppure il credito di fr. 420'000.- stanziato per la sistemazione dei posteggi rientra nel novero dei sussidi cantonali ex art. 2 cpv. 1 frase terza LCPubb. Promotore e committente di questa specifica opera non è infatti la fondazione, bensì lo Stato, il quale dovrà aggiudicare i lavori nel rispetto della legislazione sugli acquisti pubblici. In esito a quanto precede, la LCPubb non è pertanto applicabile alla concreta fattispecie, in quanto - fatta necessariamente astrazione dai contributi versati dalla Confederazione e dal comune di Mendrisio come indicato al considerando precedente - il sussidio cantonale non supera il 50% della spesa sussidiabile, valutata in fr. 7'800'000.-, né il valore soglia di un milione di franchi. 5.   Posto che la competenza del Tribunale cantonale amministrativo è stabilita per clausola enumerativa e che nessuna legge gli devolve la facoltà di statuire nel merito della contestazione quale autorità di ricorso (art. 60 PAmm) o istanza unica (art. 71 PAmm), il gravame deve essere dichiarato irricevibile. La tassa di giustizia e le ripetibili seguono la soccombenza (art. 28 e 31 PAmm). Per questi motivi, visti gli art. 1 lett. c e d , 2 cpv. 1 3 a frase, 47 LCPubb; 37 LAPub; 3, 28, 31, 60, 61, 71 PAmm; dichiara e pronuncia: 1.   Il ricorso è irricevibile. 2.   La tassa di giustizia e le spese, di complessivi fr. 800.–, sono a carico delle ricorrenti in solido. 3.   Le ricorrenti verseranno alla fondazione fr. 1'200.- a titolo di ripetibili. 4.   Intimazione a: ; ; . terzi implicati 1. CO 1 1 patrocinata da: PA 2 2. CO 2 3. CO 3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