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52.2004.359 vom 14. Dezember 2004</w:t>
      </w:r>
    </w:p>
    <w:p>
      <w:r>
        <w:t>TI Tribunale d'appello, 2004-12-14, IT</w:t>
      </w:r>
    </w:p>
    <w:p>
      <w:r>
        <w:rPr>
          <w:b/>
        </w:rPr>
        <w:t xml:space="preserve">Quelle: </w:t>
      </w:r>
      <w:r>
        <w:t>https://mcp.opencaselaw.ch/entscheid/ti_gerichte_52.2004.359</w:t>
      </w:r>
    </w:p>
    <w:p>
      <w:r>
        <w:t>FR: TI_GERICHTE 52.2004.359 du 14 décembre 2004</w:t>
      </w:r>
    </w:p>
    <w:p>
      <w:r>
        <w:t>IT: TI_GERICHTE 52.2004.359 del 14 dicembre 2004</w:t>
      </w:r>
    </w:p>
    <w:p>
      <w:pPr>
        <w:pStyle w:val="Heading2"/>
      </w:pPr>
      <w:r>
        <w:t>Regeste</w:t>
      </w:r>
    </w:p>
    <w:p>
      <w:r>
        <w:t>concorso pubblico per l'archiviazione di documenti</w:t>
      </w:r>
    </w:p>
    <w:p>
      <w:pPr>
        <w:pStyle w:val="Heading2"/>
      </w:pPr>
      <w:r>
        <w:t>Erwägungen</w:t>
      </w:r>
    </w:p>
    <w:p>
      <w:r>
        <w:rPr>
          <w:b/>
        </w:rPr>
        <w:t>E. 2</w:t>
      </w:r>
    </w:p>
    <w:p>
      <w:r>
        <w:t>Ricorso SRT</w:t>
      </w:r>
    </w:p>
    <w:p>
      <w:r>
        <w:rPr>
          <w:b/>
        </w:rPr>
        <w:t>E. 2.1</w:t>
      </w:r>
    </w:p>
    <w:p>
      <w:r>
        <w:t>Giusta l’art. 10 LCPubb, nella procedura ad invito il committente decide quali offerenti vuole invitare direttamente, senza pubblicazione del bando di gara, a presentare un’offerta entro un termine adeguato, ossia opportunamente ragguagliato alle particolarità della commessa. Per la procedura libera, l’art. 8 lett. a RLCPubb fissa un termine minimo di 30 giorni dalla messa a disposizione dei documenti. Nella procedura selettiva, fa invece stato un termine minimo di 25 giorni (art. 8 lett. b RLCPubb). Nessun termine minimo è infine fissato nella procedura ad invito. Partecipando alla gara con l’inoltro dell’offerta il concorrente ne accetta tutte le condizioni (art. 31 cpv. 2 RLCPubb).</w:t>
      </w:r>
    </w:p>
    <w:p>
      <w:r>
        <w:rPr>
          <w:b/>
        </w:rPr>
        <w:t>E. 2.2</w:t>
      </w:r>
    </w:p>
    <w:p>
      <w:r>
        <w:t>Nel caso concreto, il capitolato d’appalto, trasmesso il 27 settembre 2004 alle ditte invitate, stabiliva in modo chiaro ed inequivocabile che le offerte avrebbero dovuto pervenire alla direzione dell’CO</w:t>
      </w:r>
    </w:p>
    <w:p>
      <w:r>
        <w:rPr>
          <w:b/>
        </w:rPr>
        <w:t>E. 3</w:t>
      </w:r>
    </w:p>
    <w:p>
      <w:r>
        <w:t>CO 3 patrocinato da: PA 3 Per il Tribunale cantonale amministrativo Il presidente                                                             Il segretario</w:t>
      </w:r>
    </w:p>
    <w:p>
      <w:r>
        <w:rPr>
          <w:b/>
        </w:rPr>
        <w:t>E. 3.1</w:t>
      </w:r>
    </w:p>
    <w:p>
      <w:r>
        <w:t>Giusta l'art. 25 lett. f LCPubb, il committente esclude dalla procedura le ditte che abbiano i medesimi titolari o siano controllate dalle stesse persone e che non adempiono ai principi dell'art. 5 della stessa legge. I motivi di esclusione di cui alle lett. da a) ad e) della norma in esame ricalcano in sostanza l'art. 11 LAPub, rispettivamente il paragrafo 11 DirCIAP. Il motivo di cui alla lett. f) costituisce invece un aliud per rapporto a queste disposizioni. Come ben si può evincere dai materiali legislativi, questo motivo di esclusione non era in effetti previsto dal messaggio governativo concernente la LCPubb. Esso è stato aggiunto soltanto in un secondo tempo, su proposta della commissione della legislazione, allo scopo precipuo di frenare in questo modo il fenomeno di quelle aziende che, essendo in mora con il pagamento delle imposte o con l'osservanza delle leggi previdenziali, concorrono all'assegnazione di commesse pubbliche con altri nominativi societari, aventi comunque la stessa sostanza aziendale (cfr. Rapporto 19.01.2001 della commissione della legislazione sul messaggio concernente la LCPubb, pag. 15). La norma non intende escludere dalla gara tutte le ditte concorrenti che abbiano i medesimi titolari o siano controllate dalle medesime persone, ma soltanto quelle nelle quali operano persone attive a livello dirigenziale in ditte che non si attengono ai principi dell'art. 5 LCPubb. Ai fini dell'esclusione non basta quindi che vi sia identità a livello di titolari o di detentori del potere di disposizione, ma occorre anche che questi dirigenti siano attivi in seno a ditte che disattendono i principi suddetti, segnatamente a ditte che sono in mora con il pagamento degli oneri sociali. Non è necessario che quest’ultime partecipino al concorso. Lo scopo della norma è invero quello di estromettere dalla gara quelle ditte che sono soltanto l'emanazione di altre ditte, impedite a partecipare o comunque da escludere perché violano i principi in questione (STA 8.9.2004 in re __________, 1.3.2002 in re Centro __________ = RDAT II-2002 n. 40; STA 30.4.2003 in re __________, confermata dal Tribunale federale con sentenza 17.3.2004).</w:t>
      </w:r>
    </w:p>
    <w:p>
      <w:r>
        <w:rPr>
          <w:b/>
        </w:rPr>
        <w:t>E. 3.2</w:t>
      </w:r>
    </w:p>
    <w:p>
      <w:r>
        <w:t>Nel caso concreto, la titolare della ditta CO 1, aggiudicataria e qui resistente, era amministratrice unica della ditta __________, dichiarata fallita il 30 marzo 2004. Fra i crediti ammessi nella graduatoria del fallimento figurano diversi importi per un totale di oltre fr. 100'000.-. per contributi sociali non pagati (AVS/ AD/ LPP). L’insieme delle circostanze e l’eloquente silenzio dell’interessata all’invito a prendere posizione sulla graduatoria del fallimento trasmessale da questo tribunale, inducono a ritenere che la ditta individuale di CO 1 costituisca in sostanza una semplice continuazione della ditta fallita. Risultano pertanto perfezionati gli estremi del motivo di esclusione dell’art. 25 lett. f LCPubb. Già per questo motivo, il ricorso della RI 1 va quindi accolto, annullando la delibera impugnata. Gli atti vanno ritornati all’CO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