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52.2004.358 vom 10. Dezember 2004</w:t>
      </w:r>
    </w:p>
    <w:p>
      <w:r>
        <w:t>TI Tribunale d'appello, 2004-12-10, IT</w:t>
      </w:r>
    </w:p>
    <w:p>
      <w:r>
        <w:rPr>
          <w:b/>
        </w:rPr>
        <w:t xml:space="preserve">Quelle: </w:t>
      </w:r>
      <w:r>
        <w:t>https://mcp.opencaselaw.ch/entscheid/ti_gerichte_52.2004.358</w:t>
      </w:r>
    </w:p>
    <w:p>
      <w:r>
        <w:t>FR: TI_GERICHTE 52.2004.358 du 10 décembre 2004</w:t>
      </w:r>
    </w:p>
    <w:p>
      <w:r>
        <w:t>IT: TI_GERICHTE 52.2004.358 del 10 dicembre 2004</w:t>
      </w:r>
    </w:p>
    <w:p>
      <w:pPr>
        <w:pStyle w:val="Heading2"/>
      </w:pPr>
      <w:r>
        <w:t>Regeste</w:t>
      </w:r>
    </w:p>
    <w:p>
      <w:r>
        <w:t>concorso pubblico per opere da elettricista</w:t>
      </w:r>
    </w:p>
    <w:p>
      <w:pPr>
        <w:pStyle w:val="Heading2"/>
      </w:pPr>
      <w:r>
        <w:t>Erwägungen</w:t>
      </w:r>
    </w:p>
    <w:p>
      <w:r>
        <w:rPr>
          <w:b/>
        </w:rPr>
        <w:t>E. 1</w:t>
      </w:r>
    </w:p>
    <w:p>
      <w:r>
        <w:t>Il competenza del Tribunale cantonale amministrativo è data dall’art. 36 LCPubb. In quanto partecipante al concorso, la ditta __________ è legittimata ad impugnare l’aggiudicazione (art. 43 PAmm). Il ricorso, tempestivo (art. 46 PAmm), è dunque ricevibile in ordine. Il giudizio può essere emanato sulla base degli atti (art. 18 PAmm). Attorno ai fatti rilevanti per il giudizio non sussistono invero particolari contestazioni.</w:t>
      </w:r>
    </w:p>
    <w:p>
      <w:r>
        <w:rPr>
          <w:b/>
        </w:rPr>
        <w:t>E. 2</w:t>
      </w:r>
    </w:p>
    <w:p>
      <w:r>
        <w:t>CO 2 Per il Tribunale cantonale amministrativo Il presidente                                                             Il segretario</w:t>
      </w:r>
    </w:p>
    <w:p>
      <w:r>
        <w:rPr>
          <w:b/>
        </w:rPr>
        <w:t>E. 2.1</w:t>
      </w:r>
    </w:p>
    <w:p>
      <w:r>
        <w:t>Giusta l’art. 31 cpv. 3 RLCPubb, la partecipazione alla gara con l’inoltro dell’offerta, implica l’accettazione di tutte le condizioni contenute negli atti di gara. Contro le decisioni di aggiudicazione, dispone inoltre l’art. 38 cpv. 3 LCPubb, non sono proponibili eccezioni che non sono state sollevate mediante impugnazione del bando. La norma rappresenta un corollario del principio della buona fede, che preclude in linea di massima ai concorrenti soccombenti in sede di aggiudicazione di contestare le regole della gara alla quale hanno preso parte senza riserve.</w:t>
      </w:r>
    </w:p>
    <w:p>
      <w:r>
        <w:rPr>
          <w:b/>
        </w:rPr>
        <w:t>E. 2.2</w:t>
      </w:r>
    </w:p>
    <w:p>
      <w:r>
        <w:t>Dopo aver aperto e valutato le offerte pervenutegli in seguito al concorso inizialmente pubblicato, nell’evenienza concreta, il municipio ha invitato tutte le ditte partecipanti al concorso a presentare un’ulteriore offerta per una variante del progetto d’impianto sul quale era impostato il primo capitolato. Nell’invito, il committente si è espressamente riservato la scelta di deliberare i lavori secondo la variante oppure come al precedente concorso. Tutte le ditte concorrenti, compresa la __________, hanno partecipato a questa seconda fase del concorso senza sollevare obiezioni di natura procedurale. Nessuna ha in particolare chiesto che la procedura di concorso pendente fosse interrotta e ripresa daccapo con un capitolato che prevedesse le due varianti. In tali circostanze, appaiono del tutto fuori luogo, dal profilo della buona fede, le contestazioni sollevate dalla ricorrente contro la decisione di aggiudicazione con riferimento all’ammissibilità della variante. È ben vero che il valore della commessa supera abbondantemente il limite (fr. 50'000.-) fissato dall’art. 11 cpv. 1 lett. a LCPubb per le procedure ad invito riguardanti opere edili che non siano di impresario costruttore o di pavimentazione. La presente procedura di variante non costituisce tuttavia una gara a sé stante, ma si inserisce nel quadro di un concorso che è stato correttamente indetto secondo la procedura libera. Non soggiace dunque ai limiti di valore fissati dall’art. 11 cpv. 1 lett. a LCPubb. La procedura adottata non ha peraltro minimamente pregiudicato la ricorrente nei suoi legittimi interessi. Il committente le ha invero dato le medesime opportunità offerte agli altri concorrenti: tutte le ditte invitate erano a conoscenza degli importi globali delle offerte inoltrate dalle concorrenti nel precedente concorso. Tutte potevano quindi facilmente prevedere che le offerte in variante si sarebbero scostate nella minor misura possibile da quelle inoltrate in precedenza. Benché opinabile, la procedura adottata dal committente non ha certamente leso il principio di un’efficace concorrenza sancito dall’art. 1 lett. b o l’obbligo di garantirla enunciato dall’art. 5 lett. b LCPubb. Tutt’al più l’ha fortemente incentivata a suo esclusivo vantaggio. Tanto meno il municipio ha disatteso l’obbligo di tutelare la natura confidenziale dei dati comunicati dall’offerente sancito dall’art. 5 lett. g LCPubb. Il committente non ha reso noto alcun dato di natura confidenziale. Ha soltanto aperto pubblicamente le offerte tanto nella prima, quanto nella seconda fase. 3.   In esito alle considerazioni che precedono, la decisione impugnata va quindi confermata siccome immune da violazioni del diritto. La tassa di giustizia e le ripetibili, commisurate al valore della commessa ed al lavoro occasionato dall’impugnativa sono a carico della ricorrente secondo soccombenza. Per questi motivi, visti gli art. 1, 5, 36, 37, 38 LCPubb; 31 RLCPubb; 3, 18, 28, 31, 60, 61 PAmm; dichiara e pronuncia: 1.   Il ricorso è respinto . 2.   La tassa di giustizia di fr. 1'500.- è a carico della ricorrente che rifonderà fr. 1'500.- alla resistente a titolo di ripetibili. 3.   Intimazione a: __________. terzi implicati 1. CO 1 1 patrocinata da: PA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