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52.2004.335 vom 15. Dezember 2004</w:t>
      </w:r>
    </w:p>
    <w:p>
      <w:r>
        <w:t>TI Tribunale d'appello, 2004-12-15, IT</w:t>
      </w:r>
    </w:p>
    <w:p>
      <w:r>
        <w:rPr>
          <w:b/>
        </w:rPr>
        <w:t xml:space="preserve">Quelle: </w:t>
      </w:r>
      <w:r>
        <w:t>https://mcp.opencaselaw.ch/entscheid/ti_gerichte_52.2004.335</w:t>
      </w:r>
    </w:p>
    <w:p>
      <w:r>
        <w:t>FR: TI_GERICHTE 52.2004.335 du 15 décembre 2004</w:t>
      </w:r>
    </w:p>
    <w:p>
      <w:r>
        <w:t>IT: TI_GERICHTE 52.2004.335 del 15 dicembre 2004</w:t>
      </w:r>
    </w:p>
    <w:p>
      <w:pPr>
        <w:pStyle w:val="Heading2"/>
      </w:pPr>
      <w:r>
        <w:t>Regeste</w:t>
      </w:r>
    </w:p>
    <w:p>
      <w:r>
        <w:t>frazionamento di un fondo patriziale</w:t>
      </w:r>
    </w:p>
    <w:p>
      <w:pPr>
        <w:pStyle w:val="Heading2"/>
      </w:pPr>
      <w:r>
        <w:t>Erwägungen</w:t>
      </w:r>
    </w:p>
    <w:p>
      <w:r>
        <w:rPr>
          <w:b/>
        </w:rPr>
        <w:t>E. 1</w:t>
      </w:r>
    </w:p>
    <w:p>
      <w:r>
        <w:t>La competenza del Tribunale cantonale amministrativo è data (art. 146 cpv. 1 LOP), il ricorso è tempestivo (art. 46 cpv. 1 PAmm) e la legittimazione dei ricorrenti è certa (art. 147 lett. a LOP). Il ricorso è dunque ricevibile in ordine e può essere evaso sulla base degli atti, senza istruttoria (art. 18 PAmm).</w:t>
      </w:r>
    </w:p>
    <w:p>
      <w:r>
        <w:rPr>
          <w:b/>
        </w:rPr>
        <w:t>E. 1.1</w:t>
      </w:r>
    </w:p>
    <w:p>
      <w:r>
        <w:t>la decisione 14 settembre 2004 (n. 4102) del Consiglio di Stato;</w:t>
      </w:r>
    </w:p>
    <w:p>
      <w:r>
        <w:rPr>
          <w:b/>
        </w:rPr>
        <w:t>E. 1.2</w:t>
      </w:r>
    </w:p>
    <w:p>
      <w:r>
        <w:t>la risoluzione 15 giugno 2004 con cui l’assemblea patriziale di __________ ha risolto di non procedere al frazionamento del fondo costituente l’azienda agricola __________. 2.   La tassa di giustizia e le spese di fr. 800.- sono poste a carico del patriziato di __________. 3.   Intimazione a: terzi implicati 1. CO 1 1 patrocinata da: PA 1 2. CO 2 3. CO 3 Per il Tribunale cantonale amministrativo Il presidente                                                             Il segretario</w:t>
      </w:r>
    </w:p>
    <w:p>
      <w:r>
        <w:rPr>
          <w:b/>
        </w:rPr>
        <w:t>E. 2</w:t>
      </w:r>
    </w:p>
    <w:p>
      <w:r>
        <w:t>Giusta l’art. 77 LOP, il regolamento del patriziato stabilisce le modalità di funzionamento dell’assemblea (cpv. 1). Esso deve, tra le altre cose, disciplinare le interpellanze e le mozioni con le forme e i termini di presentazione (cpv. 2 lett. e). A questo proposito l’art. 46 del regolamento patriziale di __________ del 21 dicembre 1998 (RP di __________) prevede che ogni cittadino patrizio può presentare per iscritto nella forma della mozione, proposte su oggetti nuovi di competenza dell’assemblea. Sempre secondo la medesima norma, se l’ufficio patriziale dà preavviso favorevole, l’assemblea decide definitivamente .</w:t>
      </w:r>
    </w:p>
    <w:p>
      <w:r>
        <w:rPr>
          <w:b/>
        </w:rPr>
        <w:t>E. 3.1</w:t>
      </w:r>
    </w:p>
    <w:p>
      <w:r>
        <w:t>Nel caso di specie, diversamente da quanto è stato assunto dalla precedente autorità di giudizio, la mozione in esame non verteva su di un oggetto di competenza dell’assemblea. Premesso in effetti che la proposta formulata dalla ricorrente era chiaramente finalizzata ad ottenere la suddivisione materiale dell’attuale sedime in un numero imprecisato di nuove particelle di più piccole dimensioni, va detto che l’adozione di un simile provvedimento è di esclusiva competenza dell’ufficio patriziale, trattandosi di un atto di mera amministrazione dei beni patriziali, ai sensi dell’art. 92 lett. g LOP, di per sé privo di conseguenze dal profilo patrimoniale. Prova ne è d’altronde che per poter iscrivere a registro fondiario il frazionamento di un fondo fuori zona edificabile appartenente ad una collettività pubblica è di principio sufficiente allegare all’istanza una copia della risoluzione con cui l’organo esecutivo ha deliberato in tal senso, oltre naturalmente che al piano di mutazione e all’autorizzazione della Sezione dell’agricoltura. Nulla muta a questo proposito che nel caso di specie la suddetta proposta sia stata presentata nella prospettiva di procedere in un secondo tempo all’affitto dell’azienda agricola mediante pubblico concorso. Per queste ragioni la mozione in parola doveva essere dichiarata inammissibile dall’assemblea ed andava trattata alla stregua di un’interpellanza intesa ad accertare la disponibilità dell’ufficio patriziale a frazionare il sedime in parola, allo scopo di agevolarne l’affitto a terzi. In simili circostanze l’atto presentato dalla ricorrente, non doveva nemmeno essere sottoposto al voto assembleare, ma era da ritenersi evaso con la risposta resa dall’organo esecutivo (art. 77 cpv. 2 lett. g LOP e art. 45 RP di __________).</w:t>
      </w:r>
    </w:p>
    <w:p>
      <w:r>
        <w:rPr>
          <w:b/>
        </w:rPr>
        <w:t>E. 4.1</w:t>
      </w:r>
    </w:p>
    <w:p>
      <w:r>
        <w:t>Contrariamente a quanto affermato dal patriziato nel suo allegato di risposta, il fatto che la mozione presentata da RI 1 non riguardi un oggetto di competenza dell’assemblea non permette di dichiarare il suo gravame inammissibile, ma impone a questo tribunale di accoglierlo, anche se per motivi diversi da quelli invocati dall’insorgente. Di conseguenza, vanno annullate sia l’avversata delibera assembleare, che la decisione governativa impugnata, ritenuto comunque che per i motivi sopra esposti la proposta della ricorrente non deve più essere sottoposta al voto dei patrizi.</w:t>
      </w:r>
    </w:p>
    <w:p>
      <w:r>
        <w:rPr>
          <w:b/>
        </w:rPr>
        <w:t>E. 4.2</w:t>
      </w:r>
    </w:p>
    <w:p>
      <w:r>
        <w:t>Visto l’esito del gravame, la tassa di giustizia e le spese sono poste a carico del patriziato di __________, (art. 28 PAmm). Per questi motivi, visti gli art. 77, 92, 146, 147 LOP, 45 e 46 del regolamento patriziale di __________, 3, 18, 28, 43, 46, 61 PAmm; dichiara e pronuncia: 1.   Il ricorso è accolto ai sensi dei considerandi.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