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52.2004.334 vom 21. November 2004</w:t>
      </w:r>
    </w:p>
    <w:p>
      <w:r>
        <w:t>TI Tribunale d'appello, 2004-11-21, IT</w:t>
      </w:r>
    </w:p>
    <w:p>
      <w:r>
        <w:rPr>
          <w:b/>
        </w:rPr>
        <w:t xml:space="preserve">Quelle: </w:t>
      </w:r>
      <w:r>
        <w:t>https://mcp.opencaselaw.ch/entscheid/ti_gerichte_52.2004.334</w:t>
      </w:r>
    </w:p>
    <w:p>
      <w:r>
        <w:t>FR: TI_GERICHTE 52.2004.334 du 21 novembre 2004</w:t>
      </w:r>
    </w:p>
    <w:p>
      <w:r>
        <w:t>IT: TI_GERICHTE 52.2004.334 del 21 novembre 2004</w:t>
      </w:r>
    </w:p>
    <w:p>
      <w:pPr>
        <w:pStyle w:val="Heading2"/>
      </w:pPr>
      <w:r>
        <w:t>Regeste</w:t>
      </w:r>
    </w:p>
    <w:p>
      <w:r>
        <w:t>licenza edilizia per la sopraelevazione e trasformazione di uno stabile</w:t>
      </w:r>
    </w:p>
    <w:p>
      <w:pPr>
        <w:pStyle w:val="Heading2"/>
      </w:pPr>
      <w:r>
        <w:t>Erwägungen</w:t>
      </w:r>
    </w:p>
    <w:p>
      <w:r>
        <w:rPr>
          <w:b/>
        </w:rPr>
        <w:t>E. 12</w:t>
      </w:r>
    </w:p>
    <w:p>
      <w:r>
        <w:t>cpv. 1 NAPR circa la conformazione dell'area verde. L'accordo di cessione di quantità edificatorie stipulato dal ricorrente con il vicino non prevede infatti che la superficie verde ceduta sia effettivamente messa a disposizione e venga resa direttamente accessibile a tutti gli utenti dell'edificio . I fondi, in assenza di esplicite indicazioni in tal senso risultanti dall'accordo, rimarrebbero separati dalle attuali opere di recinzione (un muretto alto circa 50 cm ed una rete metallica un po' più alta), che continuerebbero precludere agli utenti dell'edificio del ricorrente qualsiasi possibilità di accedervi e fruirne. 5.   In esito alle considerazioni che precedono, la decisione del Consiglio di Stato va quindi confermata, siccome immune da violazioni del diritto. La tassa di giustizia e le ripetibili sono poste a carico del ricorrente secondo soccombenza (art. 31 PAmm). Per questi motivi, visti gli art. 21, 38a LE, 39 RLE; 12 NAPR, 8.3 NAPP di __________; 3, 18, 28, 31, 60, 61 PAmm; dichiara e pronuncia: 1.   Il ricorso è respinto. 2.   La tassa di giustizia di fr. 1'000.- è a carico del ricorrente, che rifonderà alla resistente fr. 1'000.- a titolo di ripetibili. 3.   Intimazione a: terzi implicati 1. CO 1 1 patrocinata da: PA 2 2. CO 2 3. CO 3 4. 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