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52.2004.326 vom 10. Mai 2006</w:t>
      </w:r>
    </w:p>
    <w:p>
      <w:r>
        <w:t>TI Tribunale d'appello, 2006-05-10, IT</w:t>
      </w:r>
    </w:p>
    <w:p>
      <w:r>
        <w:rPr>
          <w:b/>
        </w:rPr>
        <w:t xml:space="preserve">Quelle: </w:t>
      </w:r>
      <w:r>
        <w:t>https://mcp.opencaselaw.ch/entscheid/ti_gerichte_52.2004.326</w:t>
      </w:r>
    </w:p>
    <w:p>
      <w:r>
        <w:t>FR: TI_GERICHTE 52.2004.326 du 10 mai 2006</w:t>
      </w:r>
    </w:p>
    <w:p>
      <w:r>
        <w:t>IT: TI_GERICHTE 52.2004.326 del 10 maggio 2006</w:t>
      </w:r>
    </w:p>
    <w:p>
      <w:pPr>
        <w:pStyle w:val="Heading2"/>
      </w:pPr>
      <w:r>
        <w:t>Regeste</w:t>
      </w:r>
    </w:p>
    <w:p>
      <w:r>
        <w:t>Ristrutturazione ed ampliamento di un rustico formato da due corpi contigui</w:t>
      </w:r>
    </w:p>
    <w:p>
      <w:pPr>
        <w:pStyle w:val="Heading2"/>
      </w:pPr>
      <w:r>
        <w:t>Erwägungen</w:t>
      </w:r>
    </w:p>
    <w:p>
      <w:r>
        <w:rPr>
          <w:b/>
        </w:rPr>
        <w:t>E. 2.1</w:t>
      </w:r>
    </w:p>
    <w:p>
      <w:r>
        <w:t>Secondo l’art. 24 cpv. 1 NAPR/VB nella zona del nucleo di __________, i fabbricati esistenti possono essere trasformati, riattati o ricostruiti in ossequio alle disposizioni di carattere tipologico, architettonico e di materiali prescritti dalle presenti normative. L'ampliamento dei fabbricati destinati alla residenza è ammesso unicamente a titolo eccezionale ed alla condizione che il restauro sia riferito per quanto possibile ad un preciso modello tipologico. Per le stalle e le cascine valgono gli stessi criteri ad eccezione del riferimento tipologico e l'ampliamento in generale è escluso (...). Non sono ammesse nuove costruzioni salvo quelle previste come restauro morfologico (completazione dell'edificazione) a San Carlo alla condizione di ossequiare il posizionamento indicato e le disposizioni di carattere tipologico, architettonico e di materiali previsti per gli interventi sui fabbricati esistenti (...). Definiti i concetti di tipologia , di elementi architettonici e di materiale (cpv. 2), la norma stabilisce in seguito (cpv. 3) che valgono le seguenti distanze minime: – verso un fondo aperto: a confine o a m 1.50; – verso un edificio senza aperture: in contiguità o a 3.00 m; – verso un edificio con aperture: a 4.00 m. Per casi particolari , soggiunge, ad es. quando si qualifica per il recupero o il mantenimento della tipologia, degli elementi architettonici e di materiali previsti dalla presenti norme, sono concesse distanze inferiori o superiori a quelle prescritte qualora non risultino lesi interessi di terzi. L’art. 24 NAPR/VB persegue finalità di natura conservativa. Per principio, esso ammette infatti unicamente la conservazione della sostanza edilizia esistente, che può essere riattata o trasformata, cambiandone la destinazione, ma mantenendone l'identità morfologica. Nuove costruzioni sono di regola escluse. Ampliamenti possono essere autorizzati soltanto a titolo eccezionale ed unicamente nel caso di edifici ad uso abitativo. Ampliamenti di stalle e di cascine sono in generale esclusi. Non essendo per principio ammesse nuove costruzioni, l'ordinamento delle distanze vale quindi soprattutto per gli ampliamenti, che - salvo eccezioni - possono essere autorizzati soltanto nel caso di edifici, che le rispettano. Il concetto di titolo eccezionale , al quale l’art. 24 cpv. 1 NAPR/VB subordina l'ammissibilità degli ampliamenti è di natura indeterminata. Nell'individuazione del suo contenuto normativo, esso riserva all'autorità decidente una certa latitudine di giudizio, che le istanze di ricorso sono tenute a rispettare, limitandosi a censurare le interpretazioni prive di giustificazioni oggettive e pertinenti, lesive dei principi fondamentali del diritto o altrimenti insostenibili. Riserbo, questo, che appare ancor più giustificato ove si consideri che la norma appartiene al diritto comunale autonomo. Analoghe considerazioni valgono per la nozione di caso particolare , dalla quale l’art. 24 cpv. 3 NAPR/VB fa dipendere la concessione di deroghe alle distanze minime prescritte.</w:t>
      </w:r>
    </w:p>
    <w:p>
      <w:r>
        <w:rPr>
          <w:b/>
        </w:rPr>
        <w:t>E. 2.2</w:t>
      </w:r>
    </w:p>
    <w:p>
      <w:r>
        <w:t>Il controverso intervento prevede in concreto di trasformare in abitazione secondaria una vecchia stalla, situata nel nucleo di __________, innalzando fra l'altro di 70 cm il tetto in lastre di granito. Il cambiamento di destinazione non è in discussione. Oggetto di contestazione è essenzialmente l'innalzamento del tetto, ovvero l'ampliamento verticale della costruzione, autorizzato dal municipio. Per l’art. 24 cpv. 1 NAPR/VB aumenti orizzontali o verticali della volumetria degli edifici dei nuclei sono ammessi soltanto a titolo eccezionale. Ora, l'autorità comunale non ha minimamente giustificato l'eccezionalità del caso. Nulla ha in effetti addotto il municipio per rendere quantomeno plausibile che la situazione della stalla dei resistenti è particolare, ovvero diversa da quella degli altri edifici e possa di conseguenza legittimare il rilascio di un permesso speciale, in deroga al divieto generale di modificare la volumetria degli edifici esistenti. Né è dato di scorgervi alcunché di straordinario. La stalla dei ricorrenti è del tutto simile a quella degli altri edifici del nucleo. Già da questo profilo, pur tenendo conto della latitudine di giudizio che deve essere riconosciuta al municipio nell'interpretazione dei concetti giuridici indeterminati del diritto autonomo comunale, la licenza non appare dunque conforme al diritto. Per giustificarla, il municipio si è richiamato alla prassi invalsa, che ammetterebbe senza particolari restrizioni modici ampliamenti verticali, destinati a rendere abitabili i rustici. Prassi, di cui la stessa ricorrente ha peraltro beneficiato una decina di anni fa. Una simile prassi, da cui l'autorità non sembra volersi scostare, non può tuttavia legittimare il permesso in contestazione. Il principio della parità di trattamento nell'illegalità può in effetti essere invocato con successo soltanto se prevale sull'interesse all'attuazione del diritto oggettivo. Presupposto, questo, che - in concreto - non è dato, non soltanto perché la situazione dell'edificio da ampliare non soddisfa il presupposto del caso eccezionale, sancito dall'art. 24 cpv. 1 NAPR/VB, ma anche perché l'ampliamento, riferito ad una costruzione che non rispetta la distanza minima di 4.00, prescritta dall'art. 24 cpv. 3 NAPR/VB verso edifici con aperture, lede in misura apprezzabile gli interessi della ricorrente, facendo così apparire prevalente l'interesse di quest'ultima all'attuazione del diritto oggettivo su quello dei resistenti alla parità di trattamento nell'illegalità. La maggior parte della costruzione da ampliare si situa infatti all'interno della fascia larga 4.00 m, che secondo l'art. 24 cpv. 3 NAPR/VB dovrebbe risultare libera da costruzioni davanti alle facciate sudest e sudovest, munite di aperture, della casa di vacanza della ricorrente. L'ampliamento verticale (+ 70 cm) non è inoltre minimo e di trascurabile entità, ma rappresenta un ingombro supplementare, che per rapporto alla provenienza della luce pregiudica in misura significativa l'illuminazione naturale dei locali della casa della ricorrente. Anche nell'ottica dell'art. 24 cpv. 3 NAPR/VB non sono date le condizioni per autorizzare l'intervento. La situazione dell'edificio da ampliare, dal profilo dalla sua posizione rispetto a quello della ricorrente, è invero singolare, ma in questa particolarità non sono ravvisabili le connotazioni del caso eccezionale, suscettibile di legittimare la concessione di una deroga alle distanze minime da edifici fissate dall'art. 24 cpv. 3 NAPR/VB. Né l'eccezione può essere ammessa in considerazione del fatto che il diniego del permesso pregiudicherebbe i resistenti in misura maggiore rispetto al vantaggio ritratto dalla ricorrente. La deroga alle distanze minime fissate dalla norma in questione non dipende infatti dalla ponderazione degli interessi privati contrapposti, ma dall'esistenza di un caso particolare e dall'assenza di pregiudizi per i vicini. Pur tenendo conto dei limiti fissati dall'art. 61 PAmm al potere di cognizione di questo tribunale nell'ambito del controllo dell'apprezzamento esercitato dal municipio in applicazione di norme e di concetti giuridici indeterminati del diritto autonomo comunale, la licenza in contestazione non può dunque essere confermata nemmeno dal profilo dell'art. 24 cpv. 3 NAPR/VB. Trattandosi di un difetto che può essere facilmente corretto, la licenza non va tuttavia annullata, ma unicamente subordinata all'obbligo di mantenere le attuali quote della gronda e del colmo del tetto.</w:t>
      </w:r>
    </w:p>
    <w:p>
      <w:r>
        <w:rPr>
          <w:b/>
        </w:rPr>
        <w:t>E. 3</w:t>
      </w:r>
    </w:p>
    <w:p>
      <w:r>
        <w:t>Sulla scorta delle considerazioni che precedono, il ricorso va dunque parzialmente accolto, annullando il giudizio governativo impugnato e subordinando la licenza alla condizione di cui si è appena detto. La tassa di giustizia è suddivisa in parti uguali fra la ricorrente ed i resistenti. Le ripetibili di entrambe le istanze sono invece a carico di quest'ultimi secondo soccombenza. Per questi motivi, visti gli art. 21 LE, 39 RLE; 5, 24 NAPR/VB; 3, 18, 28, 31, 60, 61 PAmm; dichiara e pronuncia: 1. Il ricorso è parzialmente accolto. §   Di conseguenza: 1.1. la decisione 7 settembre 2004 del Consiglio di Stato (n. 3970) è annullata. 1.2. la licenza edilizia 4 marzo 2004 rilasciata dal municipio di CO 2 ai resistenti è confermata alla condizione che vengano mantenute le attuali quote del colmo e della gronda. 2. La tassa di giustizia di fr. 1'000.- è suddivisa in parti uguali fra la ricorrente ed i resistenti. 3.   I resistenti rifonderanno alla ricorrente fr. 1'500.- a titolo di ripetibili di entrambe le istanze. 4.   Intimazione a: Per il Tribunale cantonale amministrativo Il presidente                                                             Il segretario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