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52.2004.287 vom 3. November 2004</w:t>
      </w:r>
    </w:p>
    <w:p>
      <w:r>
        <w:t>TI Tribunale d'appello, 2004-11-03, IT</w:t>
      </w:r>
    </w:p>
    <w:p>
      <w:r>
        <w:rPr>
          <w:b/>
        </w:rPr>
        <w:t xml:space="preserve">Quelle: </w:t>
      </w:r>
      <w:r>
        <w:t>https://mcp.opencaselaw.ch/entscheid/ti_gerichte_52.2004.287</w:t>
      </w:r>
    </w:p>
    <w:p>
      <w:r>
        <w:t>FR: TI_GERICHTE 52.2004.287 du 3 novembre 2004</w:t>
      </w:r>
    </w:p>
    <w:p>
      <w:r>
        <w:t>IT: TI_GERICHTE 52.2004.287 del 3 novembre 2004</w:t>
      </w:r>
    </w:p>
    <w:p>
      <w:pPr>
        <w:pStyle w:val="Heading2"/>
      </w:pPr>
      <w:r>
        <w:t>Regeste</w:t>
      </w:r>
    </w:p>
    <w:p>
      <w:r>
        <w:t>revisione di una decisione governativa in ambito di tasse di soggiorno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e le spese, di complessivi fr. 300.-, sono poste a carico dei ricorrenti, in solido.</w:t>
      </w:r>
    </w:p>
    <w:p>
      <w:r>
        <w:rPr>
          <w:b/>
        </w:rPr>
        <w:t>E. 3</w:t>
      </w:r>
    </w:p>
    <w:p>
      <w:r>
        <w:t>I ricorrenti verseranno all’Ente turistico CO 1 fr. 300.- a titolo di ripetibili. 4.   Intimazione a: .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