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52.2004.256 vom 12. Juni 2007</w:t>
      </w:r>
    </w:p>
    <w:p>
      <w:r>
        <w:t>TI Tribunale d'appello, 2007-06-12, IT</w:t>
      </w:r>
    </w:p>
    <w:p>
      <w:r>
        <w:rPr>
          <w:b/>
        </w:rPr>
        <w:t xml:space="preserve">Quelle: </w:t>
      </w:r>
      <w:r>
        <w:t>https://mcp.opencaselaw.ch/entscheid/ti_gerichte_52.2004.256</w:t>
      </w:r>
    </w:p>
    <w:p>
      <w:r>
        <w:t>FR: TI_GERICHTE 52.2004.256 du 12 juin 2007</w:t>
      </w:r>
    </w:p>
    <w:p>
      <w:r>
        <w:t>IT: TI_GERICHTE 52.2004.256 del 12 giugno 2007</w:t>
      </w:r>
    </w:p>
    <w:p>
      <w:pPr>
        <w:pStyle w:val="Heading2"/>
      </w:pPr>
      <w:r>
        <w:t>Regeste</w:t>
      </w:r>
    </w:p>
    <w:p>
      <w:r>
        <w:t>Permuta di terreno. Il valore del fondo offerto, di fatto inedificabile per la sua conformazione, è inferiore a quello del fondo richiesto. Necessità di stimare le proprietà prima della permuta al fine di calcolare il conguaglio dovuto alla parte richiesta.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(art. 82 ss LTF). Qualora non sia proponibile il ricorso in materia di diritto pubblico, entro il medesimo termine è ammesso il ricorso sussidiario in materia costituzionale al Tribunale federale (art. 113 ss LTF). 4.   Intimazione a: patr. da: terzi implicati 1. CO 1 1 patrocinata da: PA 2 2. 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