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52.2003.89 vom 23. Mai 2003</w:t>
      </w:r>
    </w:p>
    <w:p>
      <w:r>
        <w:t>TI Tribunale d'appello, 2003-05-23, IT</w:t>
      </w:r>
    </w:p>
    <w:p>
      <w:r>
        <w:rPr>
          <w:b/>
        </w:rPr>
        <w:t xml:space="preserve">Quelle: </w:t>
      </w:r>
      <w:r>
        <w:t>https://mcp.opencaselaw.ch/entscheid/ti_gerichte_52.2003.89</w:t>
      </w:r>
    </w:p>
    <w:p>
      <w:r>
        <w:t>FR: TI_GERICHTE 52.2003.89 du 23 mai 2003</w:t>
      </w:r>
    </w:p>
    <w:p>
      <w:r>
        <w:t>IT: TI_GERICHTE 52.2003.89 del 23 maggio 2003</w:t>
      </w:r>
    </w:p>
    <w:p>
      <w:pPr>
        <w:pStyle w:val="Heading2"/>
      </w:pPr>
      <w:r>
        <w:t>Volltext</w:t>
      </w:r>
    </w:p>
    <w:p>
      <w:r>
        <w:t>Incarto n.52.2003.89</w:t>
      </w:r>
    </w:p>
    <w:p>
      <w:r>
        <w:t>Lugano</w:t>
      </w:r>
    </w:p>
    <w:p>
      <w:r>
        <w:t>23 maggio 2003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12 marzo 2003 della</w:t>
      </w:r>
    </w:p>
    <w:p>
      <w:r>
        <w:t>__________</w:t>
      </w:r>
    </w:p>
    <w:p>
      <w:r>
        <w:t>contro</w:t>
      </w:r>
    </w:p>
    <w:p>
      <w:r>
        <w:t>la decisione 18 febbraio 2003, n. 788, del Consiglio di Stato, che conferma l'ordine di sospensione dell'attività fino all'ottenimento di una regolare autorizzazione edilizia per il cambiamento di destinazione;</w:t>
      </w:r>
    </w:p>
    <w:p>
      <w:r>
        <w:t>preso atto che il 16 maggio 2003 il patrocinatore della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