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52.2003.79 vom 12. Mai 2003</w:t>
      </w:r>
    </w:p>
    <w:p>
      <w:r>
        <w:t>TI Tribunale d'appello, 2003-05-12, IT</w:t>
      </w:r>
    </w:p>
    <w:p>
      <w:r>
        <w:rPr>
          <w:b/>
        </w:rPr>
        <w:t xml:space="preserve">Quelle: </w:t>
      </w:r>
      <w:r>
        <w:t>https://mcp.opencaselaw.ch/entscheid/ti_gerichte_52.2003.79</w:t>
      </w:r>
    </w:p>
    <w:p>
      <w:r>
        <w:t>FR: TI_GERICHTE 52.2003.79 du 12 mai 2003</w:t>
      </w:r>
    </w:p>
    <w:p>
      <w:r>
        <w:t>IT: TI_GERICHTE 52.2003.79 del 12 maggio 2003</w:t>
      </w:r>
    </w:p>
    <w:p>
      <w:pPr>
        <w:pStyle w:val="Heading2"/>
      </w:pPr>
      <w:r>
        <w:t>Volltext</w:t>
      </w:r>
    </w:p>
    <w:p>
      <w:r>
        <w:t>Incarto n.52.2003.79-80-81-82</w:t>
      </w:r>
    </w:p>
    <w:p>
      <w:r>
        <w:t>Lugano</w:t>
      </w:r>
    </w:p>
    <w:p>
      <w:r>
        <w:t>12 maggio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sui ricorsi 10 marzo 2003 della</w:t>
      </w:r>
    </w:p>
    <w:p>
      <w:r>
        <w:t>__________</w:t>
      </w:r>
    </w:p>
    <w:p>
      <w:r>
        <w:t>contro</w:t>
      </w:r>
    </w:p>
    <w:p>
      <w:r>
        <w:t>le decisioni 25 febbraio 2003, (n. 860, 861, 862, 863), del Consiglio di Stato avverso la delibera per la fornitura e l'installazione di sistemi passivi di comunicazione per i collegamenti in fibra ottica lungo l'autostrada A2 (lotti __________, __________, __________, __________);</w:t>
      </w:r>
    </w:p>
    <w:p>
      <w:r>
        <w:t>preso atto che il 7 maggio 2003 il patrocinatore della ricorrente ha comunicato di ritirare i ricorsi, ritenuto che le parti hanno trovato un accordo bonale ed ha chiesto di stralciare le cause dai ruoli senza assegnazione di ripetibili e senza spese;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