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52.2003.78 vom 11. April 2003</w:t>
      </w:r>
    </w:p>
    <w:p>
      <w:r>
        <w:t>TI Tribunale d'appello, 2003-04-11, IT</w:t>
      </w:r>
    </w:p>
    <w:p>
      <w:r>
        <w:rPr>
          <w:b/>
        </w:rPr>
        <w:t xml:space="preserve">Quelle: </w:t>
      </w:r>
      <w:r>
        <w:t>https://mcp.opencaselaw.ch/entscheid/ti_gerichte_52.2003.78</w:t>
      </w:r>
    </w:p>
    <w:p>
      <w:r>
        <w:t>FR: TI_GERICHTE 52.2003.78 du 11 avril 2003</w:t>
      </w:r>
    </w:p>
    <w:p>
      <w:r>
        <w:t>IT: TI_GERICHTE 52.2003.78 del 11 aprile 2003</w:t>
      </w:r>
    </w:p>
    <w:p>
      <w:pPr>
        <w:pStyle w:val="Heading2"/>
      </w:pPr>
      <w:r>
        <w:t>Volltext</w:t>
      </w:r>
    </w:p>
    <w:p>
      <w:r>
        <w:t>Incarto n.52.2003.78</w:t>
      </w:r>
    </w:p>
    <w:p>
      <w:r>
        <w:t>Lugano</w:t>
      </w:r>
    </w:p>
    <w:p>
      <w:r>
        <w:t>11 aprile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10 marzo 2003 della</w:t>
      </w:r>
    </w:p>
    <w:p>
      <w:r>
        <w:t>__________</w:t>
      </w:r>
    </w:p>
    <w:p>
      <w:r>
        <w:t>contro</w:t>
      </w:r>
    </w:p>
    <w:p>
      <w:r>
        <w:t>la decisione 18 febbraio 2003, n. 721, del Consiglio di Stato, che delibera alla __________ i lavori concernenti le opere da pareti e soffitti in cartongesso occorrenti alla scuola magistrale cantonale a __________;</w:t>
      </w:r>
    </w:p>
    <w:p>
      <w:r>
        <w:t>preso atto che il 10 aprile 2003, il patrocinatore della ricorrente,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