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52.2003.58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https://mcp.opencaselaw.ch/entscheid/ti_gerichte_52.2003.58</w:t>
      </w:r>
    </w:p>
    <w:p>
      <w:r>
        <w:t>FR: TI_GERICHTE 52.2003.58 du 28 mai 2003</w:t>
      </w:r>
    </w:p>
    <w:p>
      <w:r>
        <w:t>IT: TI_GERICHTE 52.2003.58 del 28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non è divenuto privo d'oggetto, il ricorso è respinto.</w:t>
      </w:r>
    </w:p>
    <w:p>
      <w:r>
        <w:rPr>
          <w:b/>
        </w:rPr>
        <w:t>E. 2</w:t>
      </w:r>
    </w:p>
    <w:p>
      <w:r>
        <w:t>La tassa di giustizia e le spese, di complessivi fr. 800.--, sono a carico della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