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52.2003.48 vom 12. Juni 2003</w:t>
      </w:r>
    </w:p>
    <w:p>
      <w:r>
        <w:t>TI Tribunale d'appello, 2003-06-12, IT</w:t>
      </w:r>
    </w:p>
    <w:p>
      <w:r>
        <w:rPr>
          <w:b/>
        </w:rPr>
        <w:t xml:space="preserve">Quelle: </w:t>
      </w:r>
      <w:r>
        <w:t>https://mcp.opencaselaw.ch/entscheid/ti_gerichte_52.2003.48</w:t>
      </w:r>
    </w:p>
    <w:p>
      <w:r>
        <w:t>FR: TI_GERICHTE 52.2003.48 du 12 juin 2003</w:t>
      </w:r>
    </w:p>
    <w:p>
      <w:r>
        <w:t>IT: TI_GERICHTE 52.2003.48 del 12 giugno 2003</w:t>
      </w:r>
    </w:p>
    <w:p>
      <w:pPr>
        <w:pStyle w:val="Heading2"/>
      </w:pPr>
      <w:r>
        <w:t>Regeste</w:t>
      </w:r>
    </w:p>
    <w:p>
      <w:r>
        <w:t>Sentenza o decisione senza scheda</w:t>
      </w:r>
    </w:p>
    <w:p>
      <w:pPr>
        <w:pStyle w:val="Heading2"/>
      </w:pPr>
      <w:r>
        <w:t>Erwägungen</w:t>
      </w:r>
    </w:p>
    <w:p>
      <w:r>
        <w:rPr>
          <w:b/>
        </w:rPr>
        <w:t>E. 24</w:t>
      </w:r>
    </w:p>
    <w:p>
      <w:r>
        <w:t>LPT), ma nella disattenzione delle disposizioni che sottopongono questi lavori all’obbligo di conseguire preventivamente la necessaria autorizzazione (art. 1, LE e 5 RLE). A torto rimprovera l'insorgente all'autorità comunale di aver omesso di specificare nel rapporto di contravvenzione che la considerava autrice materiale dell’abuso. È evidente che l’autorità comunale la riteneva responsabile della violazione riscontrata dal tecnico comunale. La ricorrente ammette, del resto, di avere personalmente ordinato i lavori a dipendenza dei quali il municipio l'ha messa in contravvenzione. Analoghe considerazioni valgono per quel che riguarda l'eccezione riferita all'insufficiente precisione nell'indicazione delle norme ha ritenuto violate. L'indicazione degli art. 1 LE e 5 RLE, che sanciscono l’obbligo del permesso di costruzione, basta per promuovere un procedimento contravvenzionale per violazione formale della LE. 3.2. Altrettanto infondate sono le contestazioni che la ricorrente solleva in relazione al decreto di multa, che precisa il numero di mappa del fondo interessato dai lavori abusivi, il genere di opere eseguite (allargamento del sentiero mediante scavi e riporti, posa di sagomati con bauletto di rinfianco e posa sottofondo al mappale n. 164 a Piandera) e che si richiama al rapporto di contravvenzione 12 novembre 2002, conformemente all’art. 148 LOC. Anche da questo profilo, la ricorrente non è dunque stata minimamente limitata nell’esercizio dei suoi diritti di difesa. Il ricorso, su questo punto, deve pertanto essere respinto. 4.   4.1. Giusta gli art. 22 cpv. 1 LPT e 1 LE, edifici o impianti possono essere costruiti o trasformati solo con l’autorizzazione dell’autorità. La licenza edilizia, soggiunge l'art. 1 cpv. 2 LE, è in particolare necessaria per la trasformazione rilevante di edifici ed altre opere, nonché per la modificazione importante della configurazione del suolo. Non soggiacciono a licenza edilizia soltanto i lavori elencati dall'art. 3 RLE. Gli interventi edilizi che concernono fondi situati fuori della zona edificabile soggiacciono in ogni caso alla procedura ordinaria di rilascio del permesso (art. 5 e 6 cpv. 2 RLE). Devono quindi essere sottoposti all'autorità cantonale per preavviso. 4.2. Con la messa in opera di sagomati in beton lungo il sentiero l 'insorgente ha omesso di chiedere preventivamente la licenza per l'esecuzione di opere edilizie fuori della zona edificabile. Violando l'obbligo sancito dall'art. 1 cpv. 2 LE, la ricorrente ha quindi perfezionato l'infrazione addebitatale. A torto, sostiene che si tratterebbe soltanto di lavori di manutenzione, consolidamento e ripristino non soggetti ad autorizzazione. La posa di questi elementi travalica in ogni caso i limiti di un semplice intervento di manutenzione e di riparazione. Non si tratta affatto di un lavoro di giardinaggio, come la ricorrente ha sostenuto in sede di giustificazioni al rapporto di contravvenzione, ma di una vera e propria miglioria, soggetta a permesso di costruzione, soprattutto perché atta, assieme agli allargamenti ed alla posa di un sottofondo, a rendere carrabile il passo pedonale. 4.3. L'infrazione addebitata dall'insorgente è oggettivamente grave già per l'ubicazione delle opere, che sono state realizzate senza permesso fuori della zona edificabile, in una zona boschiva. Non può essere minimizzata. La ricorrente ha violato la legge intenzionalmente. Non ha agito per semplice negligenza. Sapeva benissimo che l'autorità esigeva la riduzione del calibro del sentiero, che aveva realizzato più largo di quanto era stato autorizzato. Non può dunque pretendere di non aver saputo che per consolidarlo con la posa di sagomati in cemento o per allargarlo ulteriormente avrebbe dovuto chiedere ed ottenere un permesso. Né ignorava che l'autorità, non essendo disposta a concederle un permesso in sanatoria, era ancor meno propensa a rilasciarle una licenza per consolidare l'opera abusiva di cui chiedeva la rettifica. La ricorrente è inoltre recidiva. Recidiva addirittura specifica perché riferita allo stesso oggetto per il quale era appena stata multata. La multa di fr. 2'000.- inflitta alla ricorrente appare tuttavia eccessiva. Una sanzione così severa, nelle particolari circostanze del caso concreto, avrebbe semmai potuto apparire giustificata per sanzionare una violazione materiale, commessa realizzando opere che non possono essere poste al beneficio di una licenza in sanatoria. Il municipio procede tuttavia nei confronti della ricorrente unicamente per titolo di violazione formale della LE. Le ha unicamente imputato di non aver chiesto l'autorizzazione necessaria. Non le ha anche addebitato di aver eseguito opere edilizie in contrasto insanabile con le norme di diritto materiale concretamente applicabili. Non potendosi tenere implicitamente conto anche di quest'aspetto nella commisurazione della pena, la multa va dimezzata. 5.   Da respingere è la richiesta di annullare l'ordine di presentare una domanda di costruzione in sanatoria per le opere eseguite abusivamente. Tale ordine è infatti semplicemente confermativo dell'identica ingiunzione contenuta nell'ordine di sospensione dei lavori impartito alla ricorrente il 12 novembre 2002. Non avendolo contestato in quell'occasione, non può rimetterlo in discussione ora. Se non intende darvi seguito, l'autorità statuirà sulla legittimità dell'opera abusiva sulla base degli elementi a sua disposizione. 6.   In esito alle considerazioni che precedono, il ricorso va parzialmente accolto, annullando il giudizio governativo impugnato e riducendo la multa a fr. 1'000.-. La tassa di giustizia è posta a carico della ricorrente proporzionalmente al suo grado di soccombenza, ritenuto che il comune ne va esente poiché non è comparso in lite a difesa di suoi interessi patrimoniali. Le ripetibili sono poste a carico del resistente nella misura in cui è soccombente (art. 28 PAmm). Per questi motivi, visti gli art. 1, 46 LE; 4, 5, 6 RLE; 145, 146, 147, 148 LOC; 292 CPS; 3, 18, 28, 43, 60, 61, 65 PAmm; dichiara e pronuncia: 1. Il ricorso è parzialmente accolto. §   Di conseguenza: 1.1. la decisione 21 gennaio 2003 del Consiglio di Stato (n. 321) è annullata. 1.2. la multa 28 novembre 2002 inflitta dal municipio di __________ alla ricorrente è ridotta a fr. 1'000.-. 2. La tassa di giustizia è a carico della ricorrente nella misura di fr. 300.-. 3. Il comune di __________ verserà alla ricorrente fr. 400.-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