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52.2003.4 vom 4. März 2003</w:t>
      </w:r>
    </w:p>
    <w:p>
      <w:r>
        <w:t>TI Tribunale d'appello, 2003-03-04, IT</w:t>
      </w:r>
    </w:p>
    <w:p>
      <w:r>
        <w:rPr>
          <w:b/>
        </w:rPr>
        <w:t xml:space="preserve">Quelle: </w:t>
      </w:r>
      <w:r>
        <w:t>https://mcp.opencaselaw.ch/entscheid/ti_gerichte_52.2003.4</w:t>
      </w:r>
    </w:p>
    <w:p>
      <w:r>
        <w:t>FR: TI_GERICHTE 52.2003.4 du 4 mars 2003</w:t>
      </w:r>
    </w:p>
    <w:p>
      <w:r>
        <w:t>IT: TI_GERICHTE 52.2003.4 del 4 marzo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14</w:t>
      </w:r>
    </w:p>
    <w:p>
      <w:r>
        <w:t>febbraio 2001, rilasciata per la copertura della terrazza, non permette di giungere a conclusioni più favorevoli all'insorgente, che a tutt'oggi non ha ancora dato seguito all'ordine di rettificare l'opera eseguita in contrasto con tale condizione e con la distanza minima di 4 m, prescritta dalle NAPR verso edifici con aperture; che, anche da questo profilo, il giudizio impugnato va quindi confermato; che spese e tassa di giustizia sono poste a carico del ricorrente secondo soccombenza (28 PAmm); per questi motivi, visti gli art. 21, 45 LE; 3, 18, 28, 34, 60, 61 PAmm; dichiara e pronuncia: 1.   Il ricorso è respinto. 2.   La tassa e le spese di giustizia per complessivi fr. 1'000.- sono poste a carico del ricorrente. 3.   Intimazione a: __________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