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52.2003.33 vom 9. April 2003</w:t>
      </w:r>
    </w:p>
    <w:p>
      <w:r>
        <w:t>TI Tribunale d'appello, 2003-04-09, IT</w:t>
      </w:r>
    </w:p>
    <w:p>
      <w:r>
        <w:rPr>
          <w:b/>
        </w:rPr>
        <w:t xml:space="preserve">Quelle: </w:t>
      </w:r>
      <w:r>
        <w:t>https://mcp.opencaselaw.ch/entscheid/ti_gerichte_52.2003.33</w:t>
      </w:r>
    </w:p>
    <w:p>
      <w:r>
        <w:t>FR: TI_GERICHTE 52.2003.33 du 9 avril 2003</w:t>
      </w:r>
    </w:p>
    <w:p>
      <w:r>
        <w:t>IT: TI_GERICHTE 52.2003.33 del 9 aprile 2003</w:t>
      </w:r>
    </w:p>
    <w:p>
      <w:pPr>
        <w:pStyle w:val="Heading2"/>
      </w:pPr>
      <w:r>
        <w:t>Regeste</w:t>
      </w:r>
    </w:p>
    <w:p>
      <w:r>
        <w:t>Sentenza o decisione senza scheda</w:t>
      </w:r>
    </w:p>
    <w:p>
      <w:pPr>
        <w:pStyle w:val="Heading2"/>
      </w:pPr>
      <w:r>
        <w:t>Erwägungen</w:t>
      </w:r>
    </w:p>
    <w:p>
      <w:r>
        <w:rPr>
          <w:b/>
        </w:rPr>
        <w:t>E. 45</w:t>
      </w:r>
    </w:p>
    <w:p>
      <w:r>
        <w:t>NAPR 1988 in caso di alienazione. I ricorrenti hanno tuttavia rinunciato per lungo tempo ad utilizzare la casa come residenza secondaria, adeguandone spontaneamente la destinazione al vincolo di residenza primaria, introdotto da tale norma. Opponendosi oggi al ripristino di un'utilizzazione dell'edificio a scopo di abitazione secondaria, che i ricorrenti avevano da tempo abbandonato, il municipio non può deludere alcuna aspettativa suscitata dal comportamento assunto nei loro confronti tra il 1988 ed il 1994. Insuscettibili di modificare le conclusioni sono infine le contestazioni che i ricorrenti sollevano con riferimento ad un'espropriazione materiale che verrebbe determinata dal vincolo in oggetto. 4.   Sulla scorta delle considerazioni che precedono, il ricorso va quindi respinto. La tassa di giustizia è posta a carico dei ricorrenti in solido. Per questi motivi, visti gli art. 1, 21 LE; 45 NAPR 1988; 39 NAPR 2002 di __________; 3, 18, 28, 31, 60, 61 PAmm; dichiara e pronuncia: 1.   Il ricorso è respinto. 2.   La tassa di giustizia di fr. 1'000.- è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