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52.2003.265 vom 1. Oktober 2003</w:t>
      </w:r>
    </w:p>
    <w:p>
      <w:r>
        <w:t>TI Tribunale d'appello, 2003-10-01, IT</w:t>
      </w:r>
    </w:p>
    <w:p>
      <w:r>
        <w:rPr>
          <w:b/>
        </w:rPr>
        <w:t xml:space="preserve">Quelle: </w:t>
      </w:r>
      <w:r>
        <w:t>https://mcp.opencaselaw.ch/entscheid/ti_gerichte_52.2003.265</w:t>
      </w:r>
    </w:p>
    <w:p>
      <w:r>
        <w:t>FR: TI_GERICHTE 52.2003.265 du 1 octobre 2003</w:t>
      </w:r>
    </w:p>
    <w:p>
      <w:r>
        <w:t>IT: TI_GERICHTE 52.2003.265 del 1 ottobre 2003</w:t>
      </w:r>
    </w:p>
    <w:p>
      <w:pPr>
        <w:pStyle w:val="Heading2"/>
      </w:pPr>
      <w:r>
        <w:t>Volltext</w:t>
      </w:r>
    </w:p>
    <w:p>
      <w:r>
        <w:t>Incarto n.52.2003.265</w:t>
      </w:r>
    </w:p>
    <w:p>
      <w:r>
        <w:t>Lugano</w:t>
      </w:r>
    </w:p>
    <w:p>
      <w:r>
        <w:t>1 ottobre 2003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27 agosto 2003 del</w:t>
      </w:r>
    </w:p>
    <w:p>
      <w:r>
        <w:t>contro</w:t>
      </w:r>
    </w:p>
    <w:p>
      <w:r>
        <w:t>le decisioni 8 e 22 agosto 2003 del Dipartimento del territorio, Divisione delle costruzioni, con la quale ha ordinato la rimozione immediata del pannello esposto presso la rotonda "__________" a __________;</w:t>
      </w:r>
    </w:p>
    <w:p>
      <w:r>
        <w:t>preso atto che il 16 settembre 2003 il patrocinatore del ricorrente ha comunicato che il cartello referendario è stato rimosso dopo la votazione popolare che ha accettato il referendum;</w:t>
      </w:r>
    </w:p>
    <w:p>
      <w:r>
        <w:t>ritenuto che la procedura è divenuta pertanto priva di oggetto, ne ha chiesto lo stralcio senza prelievo di spese e senza assegnazione di ripetibili;</w:t>
      </w:r>
    </w:p>
    <w:p>
      <w:r>
        <w:t>considerato pertanto che il procedimento è così esaurito;</w:t>
      </w:r>
    </w:p>
    <w:p>
      <w:r>
        <w:t>decreta: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