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52.2003.249 vom 30. September 2003</w:t>
      </w:r>
    </w:p>
    <w:p>
      <w:r>
        <w:t>TI Tribunale d'appello, 2003-09-30, IT</w:t>
      </w:r>
    </w:p>
    <w:p>
      <w:r>
        <w:rPr>
          <w:b/>
        </w:rPr>
        <w:t xml:space="preserve">Quelle: </w:t>
      </w:r>
      <w:r>
        <w:t>https://mcp.opencaselaw.ch/entscheid/ti_gerichte_52.2003.249</w:t>
      </w:r>
    </w:p>
    <w:p>
      <w:r>
        <w:t>FR: TI_GERICHTE 52.2003.249 du 30 septembre 2003</w:t>
      </w:r>
    </w:p>
    <w:p>
      <w:r>
        <w:t>IT: TI_GERICHTE 52.2003.249 del 30 settembre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47</w:t>
      </w:r>
    </w:p>
    <w:p>
      <w:r>
        <w:t>e 60 PAmm; dichiara e pronuncia: 1.   Il ricorso è respinto. 2.   Non si preleva tassa di giustizia. 3.   Il comune di __________ rifonderà alla resistente fr. 500.- a titolo di ripetibili. 4.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