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52.2003.224 vom 18. August 2003</w:t>
      </w:r>
    </w:p>
    <w:p>
      <w:r>
        <w:t>TI Tribunale d'appello, 2003-08-18, IT</w:t>
      </w:r>
    </w:p>
    <w:p>
      <w:r>
        <w:rPr>
          <w:b/>
        </w:rPr>
        <w:t xml:space="preserve">Quelle: </w:t>
      </w:r>
      <w:r>
        <w:t>https://mcp.opencaselaw.ch/entscheid/ti_gerichte_52.2003.224</w:t>
      </w:r>
    </w:p>
    <w:p>
      <w:r>
        <w:t>FR: TI_GERICHTE 52.2003.224 du 18 août 2003</w:t>
      </w:r>
    </w:p>
    <w:p>
      <w:r>
        <w:t>IT: TI_GERICHTE 52.2003.224 del 18 agosto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18.08.2003 52.2003.224 Tessin Tribunale cantonale amministrativo 18.08.2003 52.2003.224 Ticino Tribunale cantonale amministrativo 18.08.2003 52.2003.224</w:t>
      </w:r>
    </w:p>
    <w:p>
      <w:r>
        <w:t>Sentenza o decisione senza scheda</w:t>
      </w:r>
    </w:p>
    <w:p>
      <w:r>
        <w:t>Incarto n. 52.2003.224 Lugano 18 agosto 2003 In nome della Repubblica e Cantone del Ticino Il Tribunale cantonale amministrativo composto dei giudici: Lorenzo Anastasi, presidente, Stefano Bernasconi, Matteo Cassina segretario: Leopoldo Crivelli statuendo sul ricorso 4 luglio 2003 della __________ contro le decisioni 11 giugno 2003 del Consiglio di Stato (n. 2436 - 2443), che aggiudicano all’insorgente ed alla __________ la gestione delle mense scolastiche di sedi scolastiche del Cantone; viste le risposte: -    14 luglio 2003 del Dipartimento del territorio (ULSA); -    22 luglio 2003 della __________; -    22 luglio 2003 della __________; -    30 luglio 2003 della Sezione amministrativa del DECS; letti ed esaminati gli atti; ritenuto, in fatto che il __________ (FU n. __________, pag. __________), il Consiglio di Stato ha indetto, per il tramite del Dipartimento dell’educazione della cultura e dello sport (DECS), un pubblico concorso per la concessione e la gerenza (esercizio) dei seguenti ristoranti e mescite scolastiche: - Scuola media __________ (con servizio di catering per la scuola speciale di __________) - Centro professionale __________ (con servizio di catering per la Scuola speciale di __________ e la Scuola media di __________) - Centro professionale commerciale __________ - Casa dello studente, __________ (con servizio di catering per il Centro professionale commerciale di __________) - __________ - Liceo __________ (con servizio di catering per la Scuola speciale di __________) - Scuola media __________ (con servizio di catering per la Scuola media di __________ ed il Liceo __________ di __________) - Centro professionale __________ che il bando precisava che l’offerta poteva essere inoltrata anche per una singola sede scolastica e che l’aggiudicazione avrebbe avuto luogo al miglior offerente, sulla base di determinati criteri, che non occorre qui menzionare; che la ricorrente ha partecipato alla gara per le mense delle seguenti scuole: - Scuola media __________ - Centro professionale __________ - Centro professionale commerciale __________ - __________ - Liceo __________ - Scuola media __________ che valutate le offerte pervenutegli, con decisioni 11 giugno 2003, il Consiglio di Stato ha deliberato alla ricorrente la gestione delle mense delle scuole di __________ (con servizio catering alla scuola media di __________ ed al __________ di __________), affidando le rimanenti alla __________; che contro la predetta decisione la __________ insorge davanti al Tribunale cantonale amministrativo, chiedendo ragguagli sulla procedura di aggiudicazione esperita e dichiarando di accettare l’aggiudicazione soltanto a condizione che le sia aggiudicata anche un'altra mensa importante; che in sintesi la ricorrente lamenta una mancanza di trasparenza della procedura di aggiudicazione; che all’accoglimento del ricorso si oppongono il DECS e la __________, con argomenti che saranno semmai discussi nei seguenti considerandi; che con sentenza 12 agosto 2003, resa nell'ambito di un procedimento di ricorso in cui la __________ è parte, il Tribunale cantonale amministrativo ha annullato le predette aggiudicazioni; considerato, in diritto che la competenza del Tribunale cantonale amministrativo è data dall’art. 36 cpv. 1 LCPubb; che la legittimazione attiva dell’insorgente e la tempestività del gravame sono certe; che giusta l’art. 46 cpv. 2 PAmm il ricorso deve fra l’altro contenere le conclusioni del ricorrente; che nel caso concreto la ricorrente sembra limitarsi a chiedere che le sia aggiudicata anche un'altra mensa; che, a prescindere dalla sua ricevibilità, il gravame è comunque diventato privo d'oggetto, poiché le decisioni impugnate sono state annullate, rinviando gli atti al Consiglio di Stato per nuovo giudizio; che il ricorso può dunque essere stralciato dai ruoli senza ulteriori considerazioni; che, dato l'esito, si prescinde dal prelievo di una tassa di giustizia e dall'assegnazione di ripetibili; per questi motivi, visti gli art. 4, 36 LCPubb; 3, 18, 28, 31, 60, 61 PAmm; dichiara e pronuncia: 1.   Nella misura in cui è ricevibile, il ricorso è stralciato dai ruoli siccome privo d'oggetto . 2.   Non si preleva tassa di giustizia. Non si assegnano ripetibili.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