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52.2003.203 vom 24. Juni 2003</w:t>
      </w:r>
    </w:p>
    <w:p>
      <w:r>
        <w:t>TI Tribunale d'appello, 2003-06-24, IT</w:t>
      </w:r>
    </w:p>
    <w:p>
      <w:r>
        <w:rPr>
          <w:b/>
        </w:rPr>
        <w:t xml:space="preserve">Quelle: </w:t>
      </w:r>
      <w:r>
        <w:t>https://mcp.opencaselaw.ch/entscheid/ti_gerichte_52.2003.203</w:t>
      </w:r>
    </w:p>
    <w:p>
      <w:r>
        <w:t>FR: TI_GERICHTE 52.2003.203 du 24 juin 2003</w:t>
      </w:r>
    </w:p>
    <w:p>
      <w:r>
        <w:t>IT: TI_GERICHTE 52.2003.203 del 24 giugno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Tribunale cantonale amministrativo 24.06.2003 52.2003.203 Tessin Tribunale cantonale amministrativo 24.06.2003 52.2003.203 Ticino Tribunale cantonale amministrativo 24.06.2003 52.2003.203</w:t>
      </w:r>
    </w:p>
    <w:p>
      <w:r>
        <w:t>Sentenza o decisione senza scheda</w:t>
      </w:r>
    </w:p>
    <w:p>
      <w:r>
        <w:t>Incarto n. 52.2003.203 Lugano 24 giugno 2003 In nome della Repubblica e Cantone del Ticino Il Presidente del Tribunale cantonale amministrativo Lorenzo Anastasi assistito dal segretario: Paolo Bianchi, vicecancelliere statuendo sul ricorso 17 giugno 2003 della __________ contro la decisione 7 aprile / 27 maggio 2003 del municipio di __________, che delibera alla __________ la fornitura ed il montaggio di un impianto di deacidificazione dell’acqua potabile; richiamato l’art. 48 PAmm; letti ed esaminati gli atti; ritenuto, in fatto che il 7 giugno 2002 il municipio di __________ ha indetto un pubblico concorso per la fornitura ed il montaggio di un impianto di deacidificazione dell’acqua potabile con soda caustica al 30% (cfr. FU __________ del __________, p. __________); che al concorso hanno partecipato, tra le altre, le ditte __________ e __________; che con risoluzione 7 aprile 2003 il municipio ha deliberato i lavori alla __________; che tale risoluzione è stata notificata alla __________ con scritto 27 maggio 2003, inviato per raccomandata; che avverso la suddetta delibera la __________ è insorta dinanzi al Tribunale cantonale amministrativo con gravame 17 giugno 2003, sulla scorta di argomentazioni che verranno riprese, per quanto necessario, nel seguito; considerato, in diritto che in virtù dell'art. 26c cpv. 2 LOG, le Camere della Sezione di diritto pubblico del Tribunale di appello possono decidere nella composizione di un Giudice unico le cause che non pongono questioni di principio o che non sono di rilevante importanza; che, giusta l'art. 48 PAmm, l'autorità di ricorso può, immediatamente o dopo richiamo degli atti, decidere di respingere il ricorso se esso si riveli inammissibile o manifestamente infondato; che, prima di entrare nel merito di un'istanza o di un ricorso, l'autorità esamina d'ufficio l'adempimento dei presupposti processuali (art. 3 PAmm); che la competenza del Tribunale cantonale amministrativo è data dall’art. 36 cpv. 1 LCPubb; che la legittimazione attiva dell’insorgente, partecipante al concorso, è certa (art. 43 PAmm); che, giusta l’art. 46 cpv. 1 PAmm, l’impugnativa deve essere insinuata all'autorità di ricorso entro 15 giorni dall'intimazione della decisione impugnata; che il termine di ricorso, in quanto fissato dalla legge, è perentorio, ovvero improrogabile (art. 11 PAmm); che una decisione spedita per lettera raccomandata è considerata notificata al destinatario nel momento della consegna effettiva direttamente allo stesso oppure ad una persona abilitata; che, in concreto, la decisione municipale di aggiudicazione 7 aprile 2003 è stata notificata per raccomandata con scritto 27 maggio 2003; che, a detta della stessa ricorrente, il suddetto invio sarebbe stato ritirato il 28 maggio 2003; che gli accertamenti esperti d’ufficio da questo Tribunale hanno per contro attestato che l’invio raccomandato è stata spedito il 28 e consegnato il 30 maggio 2003; che, nell’ipotesi più favorevole alla ricorrente, il termine ricorsuale di 15 giorni, rettamente indicato nella decisione impugnata, è giunto a scadenza lunedì 16 giugno 2003, per effetto della protrazione applicabile ai termini scadenti durante la fine - setti-mana (art. 11 cpv. 3 PAmm); che, pertanto, l’impugnativa, interposta dall’insorgente soltanto il 17 giugno 2003, come si evince dal timbro postale, risulta tardiva; che, di conseguenza, il ricorso va dichiarato irricevibile, senza entrare nel merito delle censure addotte con il gravame; che la tassa di giustizia e le spese seguono la soccombenza (art. 28 PAmm); che la reiezione in limine dell’impugnativa permette comunque di contenere entro minimi termini l’ammontare degli oneri processuali. Per questi motivi, visti gli art. 26c LOG; 36 LCPubb; 3, 11, 18, 28, 43, 46, 48, 60 e 61 PAmm; dichiara e pronuncia: 1.   Il ricorso è irricevibile. 2.   La tassa di giustizia e le spese, di complessivi fr. 300.-- , sono a carico della ricorrente. 3.   Intimazione a: __________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