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52.2003.198 vom 23. Juli 2003</w:t>
      </w:r>
    </w:p>
    <w:p>
      <w:r>
        <w:t>TI Tribunale d'appello, 2003-07-23, IT</w:t>
      </w:r>
    </w:p>
    <w:p>
      <w:r>
        <w:rPr>
          <w:b/>
        </w:rPr>
        <w:t xml:space="preserve">Quelle: </w:t>
      </w:r>
      <w:r>
        <w:t>https://mcp.opencaselaw.ch/entscheid/ti_gerichte_52.2003.198</w:t>
      </w:r>
    </w:p>
    <w:p>
      <w:r>
        <w:t>FR: TI_GERICHTE 52.2003.198 du 23 juillet 2003</w:t>
      </w:r>
    </w:p>
    <w:p>
      <w:r>
        <w:t>IT: TI_GERICHTE 52.2003.198 del 23 luglio 2003</w:t>
      </w:r>
    </w:p>
    <w:p>
      <w:pPr>
        <w:pStyle w:val="Heading2"/>
      </w:pPr>
      <w:r>
        <w:t>Regeste</w:t>
      </w:r>
    </w:p>
    <w:p>
      <w:r>
        <w:t>Sentenza o decisione senza scheda</w:t>
      </w:r>
    </w:p>
    <w:p>
      <w:pPr>
        <w:pStyle w:val="Heading2"/>
      </w:pPr>
      <w:r>
        <w:t>Erwägungen</w:t>
      </w:r>
    </w:p>
    <w:p>
      <w:r>
        <w:rPr>
          <w:b/>
        </w:rPr>
        <w:t>E. 19</w:t>
      </w:r>
    </w:p>
    <w:p>
      <w:r>
        <w:t>cpv. 3 LAPub; Galli / Lehmann / Rechsteiner, Das öffentliche Beschaffungswesen in der Schweiz, n. 407). Una diversa conclusione, che permettesse ai concorrenti di conseguire l'aggiudicazione con offerte difformi sarebbe contraria al principio della parità di trattamento. 2.2. Nell'evenienza concreta, l'offerta inoltrata dalla ricorrente è conforme alle prescrizioni del capitolato d'appalto e modulo d'offerta. Contrariamente a quanto assume il committente, dal fatto che la ricorrente si sia interessata all'acquisto di materiale non conforme non si può dedurre che il materiale offerto alla posizione 285.108 non sarebbe stato conforme alle esigenze del capitolato. Il tentativo di lucrare un'indennità di deposito alle spalle del comune, messo in atto dalla ricorrente, permette al massimo di valutare negativamente la serietà della ditta stessa. La conclusione tratta dal municipio sulla conformità dell'offerta non può essere giustificata nemmeno dalla macroscopica differenza fra il prezzo irrisorio (fr. 0.01/mc), chiesto dalla ricorrente nella gara in esame, e quello esposto (fr. 7.30/mc) dalla stessa ditta in un analogo concorso indetto dal municipio di __________. Nessuna difformità può essere infine ravvisata nell'offerta di prodotti alternativi a quelli richiesti dal committente alle posizioni 947.001, 9476.002, 947.004, 947.006. Al massimo vi si può ravvisare un'inammissibile variante (art. 29 LCPubb). 2.3. Nella misura in cui estromette la ricorrente dall'aggiudicazione, la decisione impugnata non regge pertanto alla critica. 3.   L'atto di delibera va tuttavia confermato, poiché le sommarie contestazioni, sollevate dall'insorgente con riferimento al prezzo particolarmente vantaggioso della sua offerta, non permettono di sovvertire la graduatoria allestita dal progettista. Pur avendone avuto l'opportunità tanto in sede di ricorso, quanto semmai ancora in sede di replica, la ricorrente non critica invero minimamente le valutazioni della sua offerta e di quella inoltrata dalla ditta __________, operate dal committente in base ai criteri d'aggiudicazione ed ai fattori di ponderazione preventivamente stabiliti dal bando di gara. Stando così le cose, il ricorso va di conseguenza respinto. 4.   La tassa di giustizia, commisurata al valore della commessa ed al lavoro occasionato dall'impugnativa, va posta a carico della ricorrente secondo soccombenza. Per questi motivi, visti gli art. 25, 26, 32, 36, 37 LCPubb; 3, 18, 28, 60, 61 PAmm; dichiara e pronuncia: 1.   Il ricorso è respinto. 2.   La tassa di giustizia di fr. 1'500.- è posta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